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11028" w:rsidRDefault="001F5AF1" w:rsidP="00133F6A">
      <w:pPr>
        <w:ind w:left="-851"/>
        <w:rPr>
          <w:lang w:val="es-ES"/>
        </w:rPr>
      </w:pPr>
      <w:r>
        <w:rPr>
          <w:noProof/>
          <w:lang w:val="es-ES" w:eastAsia="es-ES"/>
        </w:rPr>
        <w:drawing>
          <wp:inline distT="0" distB="0" distL="0" distR="0">
            <wp:extent cx="4000500" cy="857250"/>
            <wp:effectExtent l="19050" t="0" r="0" b="0"/>
            <wp:docPr id="1" name="0 Imagen" descr="ANEFA-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ANEFA-COLOR.jpg"/>
                    <pic:cNvPicPr>
                      <a:picLocks noChangeAspect="1" noChangeArrowheads="1"/>
                    </pic:cNvPicPr>
                  </pic:nvPicPr>
                  <pic:blipFill>
                    <a:blip r:embed="rId8" cstate="print"/>
                    <a:srcRect/>
                    <a:stretch>
                      <a:fillRect/>
                    </a:stretch>
                  </pic:blipFill>
                  <pic:spPr bwMode="auto">
                    <a:xfrm>
                      <a:off x="0" y="0"/>
                      <a:ext cx="4000500" cy="857250"/>
                    </a:xfrm>
                    <a:prstGeom prst="rect">
                      <a:avLst/>
                    </a:prstGeom>
                    <a:noFill/>
                    <a:ln w="9525">
                      <a:noFill/>
                      <a:miter lim="800000"/>
                      <a:headEnd/>
                      <a:tailEnd/>
                    </a:ln>
                  </pic:spPr>
                </pic:pic>
              </a:graphicData>
            </a:graphic>
          </wp:inline>
        </w:drawing>
      </w:r>
      <w:r w:rsidR="00011028">
        <w:rPr>
          <w:noProof/>
          <w:lang w:val="es-ES" w:eastAsia="en-US"/>
        </w:rPr>
        <w:pict>
          <v:rect id="_x0000_s1049" style="position:absolute;left:0;text-align:left;margin-left:.5pt;margin-top:210.9pt;width:534.45pt;height:104.1pt;z-index:251657728;mso-width-percent:900;mso-height-percent:73;mso-position-horizontal-relative:page;mso-position-vertical-relative:page;mso-width-percent:900;mso-height-percent:73;v-text-anchor:middle" o:allowincell="f" fillcolor="#4e6128" strokecolor="white" strokeweight="1pt">
            <v:fill color2="#365f91"/>
            <v:shadow color="#d8d8d8" offset="3pt,3pt" offset2="2pt,2pt"/>
            <v:textbox style="mso-next-textbox:#_x0000_s1049;mso-fit-shape-to-text:t" inset="14.4pt,,14.4pt">
              <w:txbxContent>
                <w:p w:rsidR="00133F6A" w:rsidRPr="00133F6A" w:rsidRDefault="00133F6A" w:rsidP="00133F6A">
                  <w:pPr>
                    <w:jc w:val="center"/>
                    <w:rPr>
                      <w:rFonts w:ascii="Maiandra GD" w:hAnsi="Maiandra GD"/>
                      <w:b/>
                      <w:color w:val="FFFFFF"/>
                      <w:sz w:val="40"/>
                      <w:szCs w:val="40"/>
                    </w:rPr>
                  </w:pPr>
                  <w:r w:rsidRPr="00133F6A">
                    <w:rPr>
                      <w:rFonts w:ascii="Maiandra GD" w:hAnsi="Maiandra GD"/>
                      <w:b/>
                      <w:color w:val="FFFFFF"/>
                      <w:sz w:val="40"/>
                      <w:szCs w:val="40"/>
                    </w:rPr>
                    <w:t>DOSSIER DE PRENSA</w:t>
                  </w:r>
                </w:p>
                <w:p w:rsidR="00133F6A" w:rsidRPr="00133F6A" w:rsidRDefault="00133F6A" w:rsidP="00133F6A">
                  <w:pPr>
                    <w:jc w:val="center"/>
                    <w:rPr>
                      <w:rFonts w:ascii="Maiandra GD" w:hAnsi="Maiandra GD"/>
                      <w:b/>
                      <w:color w:val="FFFFFF"/>
                      <w:sz w:val="40"/>
                      <w:szCs w:val="40"/>
                    </w:rPr>
                  </w:pPr>
                  <w:r w:rsidRPr="00133F6A">
                    <w:rPr>
                      <w:rFonts w:ascii="Maiandra GD" w:hAnsi="Maiandra GD"/>
                      <w:b/>
                      <w:color w:val="FFFFFF"/>
                      <w:sz w:val="40"/>
                      <w:szCs w:val="40"/>
                    </w:rPr>
                    <w:t>ASAMBLEA GENERAL DE ANEFA</w:t>
                  </w:r>
                </w:p>
                <w:p w:rsidR="00133F6A" w:rsidRDefault="00F71C8D" w:rsidP="00133F6A">
                  <w:pPr>
                    <w:jc w:val="center"/>
                    <w:rPr>
                      <w:rFonts w:ascii="Maiandra GD" w:hAnsi="Maiandra GD"/>
                      <w:b/>
                      <w:color w:val="FFFFFF"/>
                      <w:sz w:val="40"/>
                      <w:szCs w:val="40"/>
                    </w:rPr>
                  </w:pPr>
                  <w:r>
                    <w:rPr>
                      <w:rFonts w:ascii="Maiandra GD" w:hAnsi="Maiandra GD"/>
                      <w:b/>
                      <w:color w:val="FFFFFF"/>
                      <w:sz w:val="40"/>
                      <w:szCs w:val="40"/>
                    </w:rPr>
                    <w:t>24</w:t>
                  </w:r>
                  <w:r w:rsidR="00133F6A" w:rsidRPr="00133F6A">
                    <w:rPr>
                      <w:rFonts w:ascii="Maiandra GD" w:hAnsi="Maiandra GD"/>
                      <w:b/>
                      <w:color w:val="FFFFFF"/>
                      <w:sz w:val="40"/>
                      <w:szCs w:val="40"/>
                    </w:rPr>
                    <w:t xml:space="preserve"> de mayo </w:t>
                  </w:r>
                </w:p>
                <w:p w:rsidR="00011028" w:rsidRPr="00DA0098" w:rsidRDefault="00F71C8D" w:rsidP="00DA0098">
                  <w:pPr>
                    <w:jc w:val="center"/>
                    <w:rPr>
                      <w:rFonts w:ascii="Maiandra GD" w:hAnsi="Maiandra GD"/>
                      <w:b/>
                      <w:color w:val="FFFFFF"/>
                      <w:sz w:val="40"/>
                      <w:szCs w:val="40"/>
                    </w:rPr>
                  </w:pPr>
                  <w:r>
                    <w:rPr>
                      <w:rFonts w:ascii="Maiandra GD" w:hAnsi="Maiandra GD"/>
                      <w:b/>
                      <w:color w:val="FFFFFF"/>
                      <w:sz w:val="40"/>
                      <w:szCs w:val="40"/>
                    </w:rPr>
                    <w:t xml:space="preserve"> Madrid</w:t>
                  </w:r>
                </w:p>
              </w:txbxContent>
            </v:textbox>
            <w10:wrap anchorx="page" anchory="page"/>
          </v:rect>
        </w:pict>
      </w:r>
      <w:r w:rsidR="00011028">
        <w:rPr>
          <w:noProof/>
          <w:lang w:val="es-ES" w:eastAsia="en-US"/>
        </w:rPr>
        <w:pict>
          <v:group id="_x0000_s1043" style="position:absolute;left:0;text-align:left;margin-left:1497.75pt;margin-top:0;width:237.75pt;height:841.75pt;z-index:-251659776;mso-width-percent:400;mso-height-percent:1000;mso-position-horizontal:right;mso-position-horizontal-relative:page;mso-position-vertical:top;mso-position-vertical-relative:page;mso-width-percent:400;mso-height-percent:1000" coordorigin="7329" coordsize="4911,15840" o:allowincell="f">
            <v:group id="_x0000_s1044"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45" style="position:absolute;left:7755;width:4505;height:15840;mso-height-percent:1000;mso-position-vertical:top;mso-position-vertical-relative:page;mso-height-percent:1000" fillcolor="#ed7d31" stroked="f" strokecolor="#d8d8d8">
                <v:fill color2="#bfbfbf" rotate="t"/>
              </v:rect>
              <v:rect id="_x0000_s1046" style="position:absolute;left:7560;top:8;width:195;height:15825;mso-height-percent:1000;mso-position-vertical-relative:page;mso-height-percent:1000;mso-width-relative:margin;v-text-anchor:middle" fillcolor="#9bbb59" stroked="f" strokecolor="white" strokeweight="1pt">
                <v:fill r:id="rId9" o:title="Light vertical" opacity="52429f" o:opacity2="52429f" type="pattern"/>
                <v:shadow color="#d8d8d8" offset="3pt,3pt" offset2="2pt,2pt"/>
              </v:rect>
            </v:group>
            <v:rect id="_x0000_s1047" style="position:absolute;left:7344;width:4896;height:3958;mso-width-percent:400;mso-height-percent:250;mso-position-horizontal:right;mso-position-horizontal-relative:page;mso-position-vertical:top;mso-position-vertical-relative:page;mso-width-percent:400;mso-height-percent:250;v-text-anchor:bottom" o:allowincell="f" filled="f" stroked="f" strokecolor="white" strokeweight="1pt">
              <v:fill opacity="52429f"/>
              <v:shadow color="#d8d8d8" offset="3pt,3pt" offset2="2pt,2pt"/>
              <v:textbox style="mso-next-textbox:#_x0000_s1047" inset="28.8pt,14.4pt,14.4pt,14.4pt">
                <w:txbxContent>
                  <w:p w:rsidR="00133F6A" w:rsidRDefault="00133F6A">
                    <w:pPr>
                      <w:pStyle w:val="Sinespaciado"/>
                      <w:rPr>
                        <w:rFonts w:ascii="Cambria" w:hAnsi="Cambria"/>
                        <w:b/>
                        <w:bCs/>
                        <w:color w:val="FFFFFF"/>
                        <w:sz w:val="96"/>
                        <w:szCs w:val="96"/>
                      </w:rPr>
                    </w:pPr>
                  </w:p>
                  <w:p w:rsidR="00133F6A" w:rsidRDefault="00133F6A">
                    <w:pPr>
                      <w:pStyle w:val="Sinespaciado"/>
                      <w:rPr>
                        <w:rFonts w:ascii="Cambria" w:hAnsi="Cambria"/>
                        <w:b/>
                        <w:bCs/>
                        <w:color w:val="FFFFFF"/>
                        <w:sz w:val="96"/>
                        <w:szCs w:val="96"/>
                      </w:rPr>
                    </w:pPr>
                  </w:p>
                  <w:p w:rsidR="00011028" w:rsidRPr="00011028" w:rsidRDefault="007F6E66">
                    <w:pPr>
                      <w:pStyle w:val="Sinespaciado"/>
                      <w:rPr>
                        <w:rFonts w:ascii="Cambria" w:hAnsi="Cambria"/>
                        <w:b/>
                        <w:bCs/>
                        <w:color w:val="FFFFFF"/>
                        <w:sz w:val="96"/>
                        <w:szCs w:val="96"/>
                      </w:rPr>
                    </w:pPr>
                    <w:r>
                      <w:rPr>
                        <w:rFonts w:ascii="Cambria" w:hAnsi="Cambria"/>
                        <w:b/>
                        <w:bCs/>
                        <w:color w:val="FFFFFF"/>
                        <w:sz w:val="96"/>
                        <w:szCs w:val="96"/>
                      </w:rPr>
                      <w:t>2013</w:t>
                    </w:r>
                  </w:p>
                </w:txbxContent>
              </v:textbox>
            </v:rect>
            <v:rect id="_x0000_s1048" style="position:absolute;left:7329;top:10658;width:4889;height:4462;mso-width-percent:400;mso-position-horizontal-relative:page;mso-position-vertical-relative:margin;mso-width-percent:400;v-text-anchor:bottom" o:allowincell="f" filled="f" stroked="f" strokecolor="white" strokeweight="1pt">
              <v:fill opacity="52429f"/>
              <v:shadow color="#d8d8d8" offset="3pt,3pt" offset2="2pt,2pt"/>
              <v:textbox style="mso-next-textbox:#_x0000_s1048" inset="28.8pt,14.4pt,14.4pt,14.4pt">
                <w:txbxContent>
                  <w:p w:rsidR="00133F6A" w:rsidRDefault="00133F6A">
                    <w:pPr>
                      <w:pStyle w:val="Sinespaciado"/>
                      <w:spacing w:line="360" w:lineRule="auto"/>
                    </w:pPr>
                  </w:p>
                  <w:p w:rsidR="00133F6A" w:rsidRDefault="00133F6A">
                    <w:pPr>
                      <w:pStyle w:val="Sinespaciado"/>
                      <w:spacing w:line="360" w:lineRule="auto"/>
                    </w:pPr>
                  </w:p>
                  <w:p w:rsidR="00133F6A" w:rsidRDefault="00133F6A">
                    <w:pPr>
                      <w:pStyle w:val="Sinespaciado"/>
                      <w:spacing w:line="360" w:lineRule="auto"/>
                    </w:pPr>
                  </w:p>
                  <w:p w:rsidR="00133F6A" w:rsidRDefault="00133F6A">
                    <w:pPr>
                      <w:pStyle w:val="Sinespaciado"/>
                      <w:spacing w:line="360" w:lineRule="auto"/>
                    </w:pPr>
                  </w:p>
                  <w:p w:rsidR="00133F6A" w:rsidRDefault="00133F6A">
                    <w:pPr>
                      <w:pStyle w:val="Sinespaciado"/>
                      <w:spacing w:line="360" w:lineRule="auto"/>
                    </w:pPr>
                  </w:p>
                  <w:p w:rsidR="00133F6A" w:rsidRDefault="00133F6A">
                    <w:pPr>
                      <w:pStyle w:val="Sinespaciado"/>
                      <w:spacing w:line="360" w:lineRule="auto"/>
                    </w:pPr>
                  </w:p>
                  <w:p w:rsidR="00133F6A" w:rsidRPr="00133F6A" w:rsidRDefault="00133F6A" w:rsidP="00133F6A">
                    <w:pPr>
                      <w:pStyle w:val="Sinespaciado"/>
                      <w:spacing w:line="360" w:lineRule="auto"/>
                      <w:rPr>
                        <w:color w:val="FFFFFF"/>
                      </w:rPr>
                    </w:pPr>
                    <w:r w:rsidRPr="00133F6A">
                      <w:rPr>
                        <w:color w:val="FFFFFF"/>
                      </w:rPr>
                      <w:t>Rafael Capilla Fernández</w:t>
                    </w:r>
                  </w:p>
                  <w:p w:rsidR="00133F6A" w:rsidRPr="00133F6A" w:rsidRDefault="00133F6A" w:rsidP="00133F6A">
                    <w:pPr>
                      <w:pStyle w:val="Sinespaciado"/>
                      <w:spacing w:line="360" w:lineRule="auto"/>
                      <w:rPr>
                        <w:color w:val="FFFFFF"/>
                      </w:rPr>
                    </w:pPr>
                    <w:r w:rsidRPr="00133F6A">
                      <w:rPr>
                        <w:color w:val="FFFFFF"/>
                      </w:rPr>
                      <w:t xml:space="preserve">Gabinete de Comunicación de ANEFA </w:t>
                    </w:r>
                  </w:p>
                  <w:p w:rsidR="00011028" w:rsidRPr="00011028" w:rsidRDefault="00F41F32">
                    <w:pPr>
                      <w:pStyle w:val="Sinespaciado"/>
                      <w:spacing w:line="360" w:lineRule="auto"/>
                      <w:rPr>
                        <w:color w:val="FFFFFF"/>
                      </w:rPr>
                    </w:pPr>
                    <w:r>
                      <w:rPr>
                        <w:color w:val="FFFFFF"/>
                      </w:rPr>
                      <w:t>gprensa@aridos.org</w:t>
                    </w:r>
                  </w:p>
                </w:txbxContent>
              </v:textbox>
            </v:rect>
            <w10:wrap anchorx="page" anchory="page"/>
          </v:group>
        </w:pict>
      </w:r>
    </w:p>
    <w:p w:rsidR="00F71C8D" w:rsidRDefault="00F71C8D" w:rsidP="00F41F32">
      <w:pPr>
        <w:jc w:val="both"/>
        <w:rPr>
          <w:rFonts w:ascii="Verdana" w:hAnsi="Verdana"/>
          <w:b/>
          <w:bCs/>
          <w:sz w:val="36"/>
          <w:lang w:val="es-ES" w:eastAsia="es-ES"/>
        </w:rPr>
      </w:pPr>
    </w:p>
    <w:p w:rsidR="00F71C8D" w:rsidRDefault="00F71C8D" w:rsidP="00F41F32">
      <w:pPr>
        <w:jc w:val="both"/>
        <w:rPr>
          <w:rFonts w:ascii="Verdana" w:hAnsi="Verdana"/>
          <w:b/>
          <w:bCs/>
          <w:sz w:val="36"/>
          <w:lang w:val="es-ES" w:eastAsia="es-ES"/>
        </w:rPr>
      </w:pPr>
    </w:p>
    <w:p w:rsidR="00F71C8D" w:rsidRDefault="00F71C8D" w:rsidP="00F41F32">
      <w:pPr>
        <w:jc w:val="both"/>
        <w:rPr>
          <w:rFonts w:ascii="Verdana" w:hAnsi="Verdana"/>
          <w:b/>
          <w:bCs/>
          <w:sz w:val="36"/>
          <w:lang w:val="es-ES" w:eastAsia="es-ES"/>
        </w:rPr>
      </w:pPr>
    </w:p>
    <w:p w:rsidR="00F71C8D" w:rsidRDefault="00F71C8D" w:rsidP="00F41F32">
      <w:pPr>
        <w:jc w:val="both"/>
        <w:rPr>
          <w:rFonts w:ascii="Verdana" w:hAnsi="Verdana"/>
          <w:b/>
          <w:bCs/>
          <w:sz w:val="36"/>
          <w:lang w:val="es-ES" w:eastAsia="es-ES"/>
        </w:rPr>
      </w:pPr>
    </w:p>
    <w:p w:rsidR="00F71C8D" w:rsidRDefault="00F71C8D" w:rsidP="00F41F32">
      <w:pPr>
        <w:jc w:val="both"/>
        <w:rPr>
          <w:rFonts w:ascii="Verdana" w:hAnsi="Verdana"/>
          <w:b/>
          <w:bCs/>
          <w:sz w:val="36"/>
          <w:lang w:val="es-ES" w:eastAsia="es-ES"/>
        </w:rPr>
      </w:pPr>
    </w:p>
    <w:p w:rsidR="00F71C8D" w:rsidRDefault="00F71C8D" w:rsidP="00F41F32">
      <w:pPr>
        <w:jc w:val="both"/>
        <w:rPr>
          <w:rFonts w:ascii="Verdana" w:hAnsi="Verdana"/>
          <w:b/>
          <w:bCs/>
          <w:sz w:val="36"/>
          <w:lang w:val="es-ES" w:eastAsia="es-ES"/>
        </w:rPr>
      </w:pPr>
    </w:p>
    <w:p w:rsidR="00F71C8D" w:rsidRDefault="00F71C8D" w:rsidP="00F41F32">
      <w:pPr>
        <w:jc w:val="both"/>
        <w:rPr>
          <w:rFonts w:ascii="Verdana" w:hAnsi="Verdana"/>
          <w:b/>
          <w:bCs/>
          <w:sz w:val="36"/>
          <w:lang w:val="es-ES" w:eastAsia="es-ES"/>
        </w:rPr>
      </w:pPr>
    </w:p>
    <w:p w:rsidR="00222561" w:rsidRDefault="001F5AF1" w:rsidP="00F41F32">
      <w:pPr>
        <w:jc w:val="both"/>
      </w:pPr>
      <w:r>
        <w:rPr>
          <w:noProof/>
          <w:lang w:val="es-ES" w:eastAsia="es-ES"/>
        </w:rPr>
        <w:drawing>
          <wp:anchor distT="0" distB="0" distL="114300" distR="114300" simplePos="0" relativeHeight="251658752" behindDoc="0" locked="0" layoutInCell="1" allowOverlap="1">
            <wp:simplePos x="0" y="0"/>
            <wp:positionH relativeFrom="column">
              <wp:posOffset>20320</wp:posOffset>
            </wp:positionH>
            <wp:positionV relativeFrom="paragraph">
              <wp:posOffset>4199890</wp:posOffset>
            </wp:positionV>
            <wp:extent cx="2609850" cy="771525"/>
            <wp:effectExtent l="19050" t="0" r="0" b="0"/>
            <wp:wrapNone/>
            <wp:docPr id="33" name="Imagen 3" descr="AFA_Mad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FA_Madrid"/>
                    <pic:cNvPicPr>
                      <a:picLocks noChangeAspect="1" noChangeArrowheads="1"/>
                    </pic:cNvPicPr>
                  </pic:nvPicPr>
                  <pic:blipFill>
                    <a:blip r:embed="rId10" cstate="print"/>
                    <a:srcRect/>
                    <a:stretch>
                      <a:fillRect/>
                    </a:stretch>
                  </pic:blipFill>
                  <pic:spPr bwMode="auto">
                    <a:xfrm>
                      <a:off x="0" y="0"/>
                      <a:ext cx="2609850" cy="771525"/>
                    </a:xfrm>
                    <a:prstGeom prst="rect">
                      <a:avLst/>
                    </a:prstGeom>
                    <a:noFill/>
                    <a:ln w="9525">
                      <a:noFill/>
                      <a:miter lim="800000"/>
                      <a:headEnd/>
                      <a:tailEnd/>
                    </a:ln>
                  </pic:spPr>
                </pic:pic>
              </a:graphicData>
            </a:graphic>
          </wp:anchor>
        </w:drawing>
      </w:r>
      <w:r w:rsidR="00F71C8D">
        <w:rPr>
          <w:rFonts w:ascii="Verdana" w:hAnsi="Verdana"/>
          <w:b/>
          <w:bCs/>
          <w:sz w:val="36"/>
          <w:lang w:val="es-ES" w:eastAsia="es-ES"/>
        </w:rPr>
        <w:tab/>
        <w:t xml:space="preserve">   </w:t>
      </w:r>
      <w:r w:rsidR="00F71C8D">
        <w:rPr>
          <w:rFonts w:ascii="Verdana" w:hAnsi="Verdana"/>
          <w:b/>
          <w:bCs/>
          <w:sz w:val="36"/>
          <w:lang w:val="es-ES" w:eastAsia="es-ES"/>
        </w:rPr>
        <w:tab/>
      </w:r>
      <w:r>
        <w:rPr>
          <w:rFonts w:ascii="Verdana" w:hAnsi="Verdana"/>
          <w:b/>
          <w:bCs/>
          <w:noProof/>
          <w:sz w:val="36"/>
          <w:lang w:val="es-ES" w:eastAsia="es-ES"/>
        </w:rPr>
        <w:drawing>
          <wp:inline distT="0" distB="0" distL="0" distR="0">
            <wp:extent cx="4210050" cy="3152775"/>
            <wp:effectExtent l="57150" t="57150" r="57150" b="66675"/>
            <wp:docPr id="2" name="Imagen 2" descr="P217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2170036"/>
                    <pic:cNvPicPr>
                      <a:picLocks noChangeAspect="1" noChangeArrowheads="1"/>
                    </pic:cNvPicPr>
                  </pic:nvPicPr>
                  <pic:blipFill>
                    <a:blip r:embed="rId11" cstate="print"/>
                    <a:srcRect/>
                    <a:stretch>
                      <a:fillRect/>
                    </a:stretch>
                  </pic:blipFill>
                  <pic:spPr bwMode="auto">
                    <a:xfrm>
                      <a:off x="0" y="0"/>
                      <a:ext cx="4210050" cy="3152775"/>
                    </a:xfrm>
                    <a:prstGeom prst="rect">
                      <a:avLst/>
                    </a:prstGeom>
                    <a:noFill/>
                    <a:ln w="57150" cmpd="sng">
                      <a:solidFill>
                        <a:srgbClr val="484329"/>
                      </a:solidFill>
                      <a:miter lim="800000"/>
                      <a:headEnd/>
                      <a:tailEnd/>
                    </a:ln>
                    <a:effectLst/>
                  </pic:spPr>
                </pic:pic>
              </a:graphicData>
            </a:graphic>
          </wp:inline>
        </w:drawing>
      </w:r>
      <w:r w:rsidR="00011028">
        <w:rPr>
          <w:rFonts w:ascii="Verdana" w:hAnsi="Verdana"/>
          <w:b/>
          <w:bCs/>
          <w:sz w:val="36"/>
          <w:lang w:val="es-ES" w:eastAsia="es-ES"/>
        </w:rPr>
        <w:br w:type="page"/>
      </w:r>
    </w:p>
    <w:p w:rsidR="00222561" w:rsidRPr="00870C2A" w:rsidRDefault="00222561" w:rsidP="00222561">
      <w:pPr>
        <w:jc w:val="center"/>
      </w:pPr>
    </w:p>
    <w:p w:rsidR="00647829" w:rsidRDefault="00647829" w:rsidP="00222561">
      <w:pPr>
        <w:jc w:val="center"/>
      </w:pPr>
    </w:p>
    <w:p w:rsidR="00647829" w:rsidRDefault="00647829" w:rsidP="00222561">
      <w:pPr>
        <w:jc w:val="center"/>
      </w:pPr>
    </w:p>
    <w:p w:rsidR="002C7D62" w:rsidRDefault="001F5AF1" w:rsidP="002C7D62">
      <w:r>
        <w:rPr>
          <w:rFonts w:ascii="Candara" w:hAnsi="Candara"/>
          <w:b/>
          <w:noProof/>
          <w:color w:val="E36C0A"/>
          <w:sz w:val="40"/>
          <w:szCs w:val="40"/>
          <w:lang w:val="es-ES" w:eastAsia="es-ES"/>
        </w:rPr>
        <w:drawing>
          <wp:anchor distT="0" distB="0" distL="114300" distR="114300" simplePos="0" relativeHeight="251655680" behindDoc="1" locked="0" layoutInCell="1" allowOverlap="0">
            <wp:simplePos x="0" y="0"/>
            <wp:positionH relativeFrom="page">
              <wp:posOffset>-635</wp:posOffset>
            </wp:positionH>
            <wp:positionV relativeFrom="page">
              <wp:posOffset>1639570</wp:posOffset>
            </wp:positionV>
            <wp:extent cx="7595870" cy="601345"/>
            <wp:effectExtent l="19050" t="0" r="5080" b="0"/>
            <wp:wrapNone/>
            <wp:docPr id="11" name="Imagen 3" descr="B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da"/>
                    <pic:cNvPicPr>
                      <a:picLocks noChangeAspect="1" noChangeArrowheads="1"/>
                    </pic:cNvPicPr>
                  </pic:nvPicPr>
                  <pic:blipFill>
                    <a:blip r:embed="rId12" cstate="print"/>
                    <a:srcRect/>
                    <a:stretch>
                      <a:fillRect/>
                    </a:stretch>
                  </pic:blipFill>
                  <pic:spPr bwMode="auto">
                    <a:xfrm>
                      <a:off x="0" y="0"/>
                      <a:ext cx="7595870" cy="601345"/>
                    </a:xfrm>
                    <a:prstGeom prst="rect">
                      <a:avLst/>
                    </a:prstGeom>
                    <a:noFill/>
                    <a:ln w="9525">
                      <a:noFill/>
                      <a:miter lim="800000"/>
                      <a:headEnd/>
                      <a:tailEnd/>
                    </a:ln>
                  </pic:spPr>
                </pic:pic>
              </a:graphicData>
            </a:graphic>
          </wp:anchor>
        </w:drawing>
      </w:r>
    </w:p>
    <w:p w:rsidR="00222561" w:rsidRPr="00BD2EAA" w:rsidRDefault="00BD2EAA" w:rsidP="002C7D62">
      <w:pPr>
        <w:jc w:val="center"/>
        <w:rPr>
          <w:rFonts w:ascii="Candara" w:hAnsi="Candara"/>
          <w:b/>
          <w:color w:val="984806"/>
          <w:sz w:val="40"/>
          <w:szCs w:val="40"/>
        </w:rPr>
      </w:pPr>
      <w:r w:rsidRPr="00BD2EAA">
        <w:rPr>
          <w:rFonts w:ascii="Candara" w:hAnsi="Candara"/>
          <w:b/>
          <w:color w:val="984806"/>
          <w:sz w:val="40"/>
          <w:szCs w:val="40"/>
        </w:rPr>
        <w:t>ASAMBLEA GENERAL DE ANEFA 201</w:t>
      </w:r>
      <w:r w:rsidR="001F5AF1">
        <w:rPr>
          <w:rFonts w:ascii="Candara" w:hAnsi="Candara"/>
          <w:b/>
          <w:noProof/>
          <w:color w:val="984806"/>
          <w:sz w:val="40"/>
          <w:szCs w:val="40"/>
          <w:lang w:val="es-ES" w:eastAsia="es-ES"/>
        </w:rPr>
        <w:drawing>
          <wp:anchor distT="0" distB="0" distL="114300" distR="114300" simplePos="0" relativeHeight="251654656" behindDoc="1" locked="0" layoutInCell="1" allowOverlap="1">
            <wp:simplePos x="0" y="0"/>
            <wp:positionH relativeFrom="margin">
              <wp:posOffset>-800100</wp:posOffset>
            </wp:positionH>
            <wp:positionV relativeFrom="margin">
              <wp:posOffset>21590</wp:posOffset>
            </wp:positionV>
            <wp:extent cx="2819400" cy="567055"/>
            <wp:effectExtent l="19050" t="0" r="0" b="0"/>
            <wp:wrapNone/>
            <wp:docPr id="10" name="Imagen 2" descr="Logo_ANE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ANEFA"/>
                    <pic:cNvPicPr>
                      <a:picLocks noChangeAspect="1" noChangeArrowheads="1"/>
                    </pic:cNvPicPr>
                  </pic:nvPicPr>
                  <pic:blipFill>
                    <a:blip r:embed="rId13" cstate="print"/>
                    <a:srcRect/>
                    <a:stretch>
                      <a:fillRect/>
                    </a:stretch>
                  </pic:blipFill>
                  <pic:spPr bwMode="auto">
                    <a:xfrm>
                      <a:off x="0" y="0"/>
                      <a:ext cx="2819400" cy="567055"/>
                    </a:xfrm>
                    <a:prstGeom prst="rect">
                      <a:avLst/>
                    </a:prstGeom>
                    <a:noFill/>
                    <a:ln w="9525">
                      <a:noFill/>
                      <a:miter lim="800000"/>
                      <a:headEnd/>
                      <a:tailEnd/>
                    </a:ln>
                  </pic:spPr>
                </pic:pic>
              </a:graphicData>
            </a:graphic>
          </wp:anchor>
        </w:drawing>
      </w:r>
      <w:r w:rsidRPr="00BD2EAA">
        <w:rPr>
          <w:rFonts w:ascii="Candara" w:hAnsi="Candara"/>
          <w:b/>
          <w:color w:val="984806"/>
          <w:sz w:val="40"/>
          <w:szCs w:val="40"/>
        </w:rPr>
        <w:t>3</w:t>
      </w:r>
    </w:p>
    <w:p w:rsidR="00FC7DB1" w:rsidRDefault="00FC7DB1" w:rsidP="00F5195B">
      <w:pPr>
        <w:pStyle w:val="Ttulo"/>
        <w:rPr>
          <w:highlight w:val="yellow"/>
        </w:rPr>
      </w:pPr>
    </w:p>
    <w:p w:rsidR="00FC7DB1" w:rsidRPr="00DA0098" w:rsidRDefault="006D750A" w:rsidP="00F5195B">
      <w:pPr>
        <w:pStyle w:val="Ttulo"/>
        <w:rPr>
          <w:rFonts w:ascii="Candara" w:hAnsi="Candara"/>
          <w:color w:val="5A702E"/>
          <w:sz w:val="28"/>
          <w:szCs w:val="28"/>
          <w:u w:val="single"/>
          <w:lang w:val="es-ES"/>
        </w:rPr>
      </w:pPr>
      <w:r>
        <w:rPr>
          <w:rFonts w:ascii="Candara" w:hAnsi="Candara"/>
          <w:color w:val="5A702E"/>
          <w:sz w:val="28"/>
          <w:szCs w:val="28"/>
          <w:u w:val="single"/>
          <w:lang w:val="es-ES_tradnl"/>
        </w:rPr>
        <w:t xml:space="preserve">Según datos de </w:t>
      </w:r>
      <w:r w:rsidR="00770BDF" w:rsidRPr="00DA0098">
        <w:rPr>
          <w:rFonts w:ascii="Candara" w:hAnsi="Candara"/>
          <w:color w:val="5A702E"/>
          <w:sz w:val="28"/>
          <w:szCs w:val="28"/>
          <w:u w:val="single"/>
          <w:lang w:val="es-ES_tradnl"/>
        </w:rPr>
        <w:t xml:space="preserve">la </w:t>
      </w:r>
      <w:r w:rsidR="00FC7DB1" w:rsidRPr="00DA0098">
        <w:rPr>
          <w:rFonts w:ascii="Candara" w:hAnsi="Candara"/>
          <w:color w:val="5A702E"/>
          <w:sz w:val="28"/>
          <w:szCs w:val="28"/>
          <w:u w:val="single"/>
        </w:rPr>
        <w:t>Asociación Nacional de Empresarios Fabricantes de Áridos (ANEFA)</w:t>
      </w:r>
      <w:r w:rsidR="00770BDF" w:rsidRPr="00DA0098">
        <w:rPr>
          <w:rFonts w:ascii="Candara" w:hAnsi="Candara"/>
          <w:color w:val="5A702E"/>
          <w:sz w:val="28"/>
          <w:szCs w:val="28"/>
          <w:u w:val="single"/>
        </w:rPr>
        <w:t>, que ha celebrado su Asamblea Anual en Madrid</w:t>
      </w:r>
    </w:p>
    <w:p w:rsidR="00F5195B" w:rsidRPr="00F5195B" w:rsidRDefault="00F5195B" w:rsidP="00F5195B">
      <w:pPr>
        <w:pStyle w:val="Ttulo"/>
        <w:rPr>
          <w:rFonts w:ascii="Candara" w:hAnsi="Candara"/>
          <w:sz w:val="24"/>
          <w:u w:val="single"/>
          <w:lang w:val="es-ES"/>
        </w:rPr>
      </w:pPr>
    </w:p>
    <w:p w:rsidR="00FC7DB1" w:rsidRPr="00DB4E45" w:rsidRDefault="00CC5812" w:rsidP="00CC5812">
      <w:pPr>
        <w:pStyle w:val="Ttulo"/>
        <w:ind w:right="-7"/>
        <w:rPr>
          <w:rFonts w:ascii="Candara" w:hAnsi="Candara"/>
          <w:caps/>
          <w:color w:val="ED7D31"/>
          <w:sz w:val="32"/>
          <w:szCs w:val="32"/>
          <w:u w:val="single"/>
          <w:lang w:val="es-ES"/>
        </w:rPr>
      </w:pPr>
      <w:r w:rsidRPr="00DB4E45">
        <w:rPr>
          <w:rFonts w:ascii="Candara" w:hAnsi="Candara"/>
          <w:caps/>
          <w:color w:val="ED7D31"/>
          <w:sz w:val="32"/>
          <w:szCs w:val="32"/>
          <w:u w:val="single"/>
          <w:lang w:val="es-ES"/>
        </w:rPr>
        <w:t>El consumo de áridos sufre el mayor desplome de la historia</w:t>
      </w:r>
      <w:r w:rsidR="00770BDF" w:rsidRPr="00DB4E45">
        <w:rPr>
          <w:rFonts w:ascii="Candara" w:hAnsi="Candara"/>
          <w:color w:val="ED7D31"/>
          <w:sz w:val="32"/>
          <w:szCs w:val="32"/>
          <w:u w:val="single"/>
        </w:rPr>
        <w:t>,</w:t>
      </w:r>
      <w:r w:rsidRPr="00DB4E45">
        <w:rPr>
          <w:rFonts w:ascii="Candara" w:hAnsi="Candara"/>
          <w:color w:val="ED7D31"/>
          <w:sz w:val="32"/>
          <w:szCs w:val="32"/>
          <w:u w:val="single"/>
        </w:rPr>
        <w:t xml:space="preserve"> CON UN DESCENSO</w:t>
      </w:r>
      <w:r w:rsidR="00770BDF" w:rsidRPr="00DB4E45">
        <w:rPr>
          <w:rFonts w:ascii="Candara" w:hAnsi="Candara"/>
          <w:color w:val="ED7D31"/>
          <w:sz w:val="32"/>
          <w:szCs w:val="32"/>
          <w:u w:val="single"/>
        </w:rPr>
        <w:t xml:space="preserve"> NACIONAL DEL -35%</w:t>
      </w:r>
    </w:p>
    <w:p w:rsidR="006A6001" w:rsidRPr="002F4ABA" w:rsidRDefault="006A6001" w:rsidP="00C539A5">
      <w:pPr>
        <w:pStyle w:val="Ttulo"/>
        <w:ind w:right="-7"/>
        <w:rPr>
          <w:rFonts w:ascii="Calibri" w:hAnsi="Calibri"/>
          <w:color w:val="ED7D31"/>
          <w:sz w:val="21"/>
          <w:szCs w:val="21"/>
        </w:rPr>
      </w:pPr>
    </w:p>
    <w:p w:rsidR="00C539A5" w:rsidRPr="002F4ABA" w:rsidRDefault="006A6001" w:rsidP="00C539A5">
      <w:pPr>
        <w:pStyle w:val="Ttulo"/>
        <w:ind w:right="-7"/>
        <w:rPr>
          <w:rFonts w:ascii="Candara" w:hAnsi="Candara"/>
          <w:color w:val="ED7D31"/>
          <w:sz w:val="38"/>
          <w:szCs w:val="38"/>
          <w:u w:val="single"/>
          <w:lang w:val="es-ES"/>
        </w:rPr>
      </w:pPr>
      <w:r w:rsidRPr="002F4ABA">
        <w:rPr>
          <w:rFonts w:ascii="Calibri" w:hAnsi="Calibri"/>
          <w:color w:val="ED7D31"/>
          <w:sz w:val="21"/>
          <w:szCs w:val="21"/>
        </w:rPr>
        <w:t>El consumo anual por habitante se sitúa a la cola de Europa y por debajo de países subdesarrollados</w:t>
      </w:r>
    </w:p>
    <w:p w:rsidR="00C539A5" w:rsidRPr="00FD1B44" w:rsidRDefault="00CB64A4" w:rsidP="00C539A5">
      <w:pPr>
        <w:numPr>
          <w:ilvl w:val="0"/>
          <w:numId w:val="12"/>
        </w:numPr>
        <w:pBdr>
          <w:top w:val="single" w:sz="4" w:space="1" w:color="auto"/>
          <w:left w:val="single" w:sz="4" w:space="4" w:color="auto"/>
          <w:bottom w:val="single" w:sz="4" w:space="1" w:color="auto"/>
          <w:right w:val="single" w:sz="4" w:space="4" w:color="auto"/>
        </w:pBdr>
        <w:ind w:left="714" w:hanging="357"/>
        <w:jc w:val="both"/>
        <w:rPr>
          <w:rFonts w:ascii="Candara" w:hAnsi="Candara"/>
          <w:b/>
          <w:color w:val="5A702E"/>
        </w:rPr>
      </w:pPr>
      <w:r w:rsidRPr="00FD1B44">
        <w:rPr>
          <w:rFonts w:ascii="Candara" w:hAnsi="Candara"/>
          <w:b/>
          <w:color w:val="5A702E"/>
        </w:rPr>
        <w:t xml:space="preserve">Según las estimaciones, en 2012 -sexto año consecutivo de crisis del sector-, el consumo de áridos para la construcción se ha vuelto a desplomar un -35%, hasta alcanzar unos valores absolutos nunca registrados, de menos de 115 millones de toneladas. Desde 2006, el consumo ha retrocedido cerca del -77%, arrastrando a su vez al volumen de negocio sectorial que es, en la actualidad, el 19% del alcanzado ese año. </w:t>
      </w:r>
    </w:p>
    <w:p w:rsidR="00C539A5" w:rsidRPr="00FD1B44" w:rsidRDefault="00C539A5" w:rsidP="00C539A5">
      <w:pPr>
        <w:numPr>
          <w:ilvl w:val="0"/>
          <w:numId w:val="12"/>
        </w:numPr>
        <w:pBdr>
          <w:top w:val="single" w:sz="4" w:space="1" w:color="auto"/>
          <w:left w:val="single" w:sz="4" w:space="4" w:color="auto"/>
          <w:bottom w:val="single" w:sz="4" w:space="1" w:color="auto"/>
          <w:right w:val="single" w:sz="4" w:space="4" w:color="auto"/>
        </w:pBdr>
        <w:ind w:left="714" w:hanging="357"/>
        <w:jc w:val="both"/>
        <w:rPr>
          <w:rFonts w:ascii="Candara" w:hAnsi="Candara"/>
          <w:b/>
          <w:color w:val="5A702E"/>
        </w:rPr>
      </w:pPr>
      <w:r w:rsidRPr="00FD1B44">
        <w:rPr>
          <w:rFonts w:ascii="Candara" w:hAnsi="Candara"/>
          <w:b/>
          <w:color w:val="5A702E"/>
        </w:rPr>
        <w:t>El consumo de áridos per capita</w:t>
      </w:r>
      <w:r w:rsidR="00CB64A4" w:rsidRPr="00FD1B44">
        <w:rPr>
          <w:rFonts w:ascii="Candara" w:hAnsi="Candara"/>
          <w:b/>
          <w:color w:val="5A702E"/>
        </w:rPr>
        <w:t xml:space="preserve"> se ha reducido hasta las 2,4 toneladas / habitante /año, datos muy inferiores a la media de los países de la UEPG (5,8 t/hab. /año) y mucho más propios de países subdesarrollados del tercer mundo que de una economía occidental integrada en la UE</w:t>
      </w:r>
      <w:r w:rsidRPr="00FD1B44">
        <w:rPr>
          <w:rFonts w:ascii="Candara" w:hAnsi="Candara"/>
          <w:b/>
          <w:color w:val="5A702E"/>
        </w:rPr>
        <w:t>.</w:t>
      </w:r>
    </w:p>
    <w:p w:rsidR="00FC7DB1" w:rsidRPr="00FD1B44" w:rsidRDefault="00FC7DB1" w:rsidP="00FD1B44">
      <w:pPr>
        <w:numPr>
          <w:ilvl w:val="0"/>
          <w:numId w:val="12"/>
        </w:numPr>
        <w:pBdr>
          <w:top w:val="single" w:sz="4" w:space="1" w:color="auto"/>
          <w:left w:val="single" w:sz="4" w:space="4" w:color="auto"/>
          <w:bottom w:val="single" w:sz="4" w:space="1" w:color="auto"/>
          <w:right w:val="single" w:sz="4" w:space="4" w:color="auto"/>
        </w:pBdr>
        <w:ind w:left="714" w:hanging="357"/>
        <w:jc w:val="both"/>
        <w:rPr>
          <w:rFonts w:ascii="Candara" w:hAnsi="Candara" w:cs="Tahoma"/>
          <w:b/>
          <w:color w:val="5A702E"/>
        </w:rPr>
      </w:pPr>
      <w:r w:rsidRPr="00FD1B44">
        <w:rPr>
          <w:rFonts w:ascii="Candara" w:hAnsi="Candara" w:cs="Tahoma"/>
          <w:b/>
          <w:color w:val="5A702E"/>
        </w:rPr>
        <w:t>En la Comunidad de Madrid, el consumo de áridos par</w:t>
      </w:r>
      <w:r w:rsidR="00C539A5" w:rsidRPr="00FD1B44">
        <w:rPr>
          <w:rFonts w:ascii="Candara" w:hAnsi="Candara" w:cs="Tahoma"/>
          <w:b/>
          <w:color w:val="5A702E"/>
        </w:rPr>
        <w:t>a la construcción sufre un nuevo desplome y se cifra en 7,0 millones de toneladas (-38,3</w:t>
      </w:r>
      <w:r w:rsidR="00A703D9" w:rsidRPr="00FD1B44">
        <w:rPr>
          <w:rFonts w:ascii="Candara" w:hAnsi="Candara" w:cs="Tahoma"/>
          <w:b/>
          <w:color w:val="5A702E"/>
        </w:rPr>
        <w:t>%</w:t>
      </w:r>
      <w:r w:rsidRPr="00FD1B44">
        <w:rPr>
          <w:rFonts w:ascii="Candara" w:hAnsi="Candara" w:cs="Tahoma"/>
          <w:b/>
          <w:color w:val="5A702E"/>
        </w:rPr>
        <w:t xml:space="preserve"> respecto al año anterior), </w:t>
      </w:r>
      <w:r w:rsidR="00C539A5" w:rsidRPr="00FD1B44">
        <w:rPr>
          <w:rFonts w:ascii="Candara" w:hAnsi="Candara" w:cs="Tahoma"/>
          <w:b/>
          <w:color w:val="5A702E"/>
        </w:rPr>
        <w:t>con un consumo per cápita de 1,1 toneladas.</w:t>
      </w:r>
    </w:p>
    <w:p w:rsidR="00FC7DB1" w:rsidRPr="00FC7DB1" w:rsidRDefault="00FC7DB1" w:rsidP="00FC7DB1">
      <w:pPr>
        <w:ind w:right="-7"/>
        <w:rPr>
          <w:rFonts w:ascii="Candara" w:hAnsi="Candara"/>
          <w:b/>
          <w:bCs/>
          <w:u w:val="single"/>
        </w:rPr>
      </w:pPr>
    </w:p>
    <w:p w:rsidR="00FC7DB1" w:rsidRPr="00FC7DB1" w:rsidRDefault="00770BDF" w:rsidP="00FC7DB1">
      <w:pPr>
        <w:ind w:right="-7"/>
        <w:jc w:val="both"/>
        <w:rPr>
          <w:rFonts w:ascii="Candara" w:hAnsi="Candara"/>
          <w:b/>
        </w:rPr>
      </w:pPr>
      <w:r>
        <w:rPr>
          <w:rFonts w:ascii="Candara" w:hAnsi="Candara"/>
          <w:b/>
          <w:bCs/>
        </w:rPr>
        <w:t>MAYO de 2013</w:t>
      </w:r>
      <w:r w:rsidR="00FC7DB1" w:rsidRPr="00FC7DB1">
        <w:rPr>
          <w:rFonts w:ascii="Candara" w:hAnsi="Candara"/>
          <w:b/>
          <w:bCs/>
        </w:rPr>
        <w:t xml:space="preserve">.- </w:t>
      </w:r>
      <w:r w:rsidR="00FC7DB1" w:rsidRPr="00FC7DB1">
        <w:rPr>
          <w:rFonts w:ascii="Candara" w:hAnsi="Candara"/>
          <w:b/>
        </w:rPr>
        <w:t>Los e</w:t>
      </w:r>
      <w:r w:rsidR="00C539A5">
        <w:rPr>
          <w:rFonts w:ascii="Candara" w:hAnsi="Candara"/>
          <w:b/>
        </w:rPr>
        <w:t>mpresarios del sector de los áridos</w:t>
      </w:r>
      <w:r w:rsidR="00FC7DB1" w:rsidRPr="00FC7DB1">
        <w:rPr>
          <w:rFonts w:ascii="Candara" w:hAnsi="Candara"/>
          <w:b/>
        </w:rPr>
        <w:t xml:space="preserve"> de toda España integrados en ANEFA </w:t>
      </w:r>
      <w:r w:rsidR="00BD2EAA">
        <w:rPr>
          <w:rFonts w:ascii="Candara" w:hAnsi="Candara"/>
          <w:b/>
        </w:rPr>
        <w:t xml:space="preserve">participan </w:t>
      </w:r>
      <w:r w:rsidR="00FC7DB1" w:rsidRPr="00FC7DB1">
        <w:rPr>
          <w:rFonts w:ascii="Candara" w:hAnsi="Candara"/>
          <w:b/>
        </w:rPr>
        <w:t>en su as</w:t>
      </w:r>
      <w:r w:rsidR="00A703D9">
        <w:rPr>
          <w:rFonts w:ascii="Candara" w:hAnsi="Candara"/>
          <w:b/>
        </w:rPr>
        <w:t>amblea general</w:t>
      </w:r>
      <w:r w:rsidR="00BD2EAA">
        <w:rPr>
          <w:rFonts w:ascii="Candara" w:hAnsi="Candara"/>
          <w:b/>
        </w:rPr>
        <w:t xml:space="preserve"> anual</w:t>
      </w:r>
      <w:r w:rsidR="00A703D9">
        <w:rPr>
          <w:rFonts w:ascii="Candara" w:hAnsi="Candara"/>
          <w:b/>
        </w:rPr>
        <w:t>, que se celebra</w:t>
      </w:r>
      <w:r w:rsidR="00FC7DB1" w:rsidRPr="00FC7DB1">
        <w:rPr>
          <w:rFonts w:ascii="Candara" w:hAnsi="Candara"/>
          <w:b/>
        </w:rPr>
        <w:t xml:space="preserve"> el 24</w:t>
      </w:r>
      <w:r w:rsidR="00BD2EAA">
        <w:rPr>
          <w:rFonts w:ascii="Candara" w:hAnsi="Candara"/>
          <w:b/>
        </w:rPr>
        <w:t xml:space="preserve"> de mayo en el hotel NH Eurobuilding de Madrid</w:t>
      </w:r>
      <w:r w:rsidR="00FD1B44">
        <w:rPr>
          <w:rFonts w:ascii="Candara" w:hAnsi="Candara"/>
          <w:b/>
        </w:rPr>
        <w:t>, contando con la Asociación de Fabricantes de Áridos de la Comunidad de Madrid como anfitriona del evento</w:t>
      </w:r>
      <w:r w:rsidR="00FC7DB1" w:rsidRPr="00FC7DB1">
        <w:rPr>
          <w:rFonts w:ascii="Candara" w:hAnsi="Candara"/>
          <w:b/>
        </w:rPr>
        <w:t xml:space="preserve">. </w:t>
      </w:r>
      <w:r w:rsidR="00BD2EAA">
        <w:rPr>
          <w:rFonts w:ascii="Candara" w:hAnsi="Candara"/>
          <w:b/>
          <w:bCs/>
        </w:rPr>
        <w:t xml:space="preserve">Una nutrida representación de </w:t>
      </w:r>
      <w:r w:rsidR="00FC7DB1" w:rsidRPr="00FC7DB1">
        <w:rPr>
          <w:rFonts w:ascii="Candara" w:hAnsi="Candara"/>
          <w:b/>
          <w:bCs/>
        </w:rPr>
        <w:t>empresarios procedentes de toda España</w:t>
      </w:r>
      <w:r w:rsidR="00BD2EAA">
        <w:rPr>
          <w:rFonts w:ascii="Candara" w:hAnsi="Candara"/>
          <w:b/>
          <w:bCs/>
        </w:rPr>
        <w:t xml:space="preserve"> asiste</w:t>
      </w:r>
      <w:r w:rsidR="00FC7DB1">
        <w:rPr>
          <w:rFonts w:ascii="Candara" w:hAnsi="Candara"/>
          <w:b/>
          <w:bCs/>
        </w:rPr>
        <w:t xml:space="preserve"> al encuentro</w:t>
      </w:r>
      <w:r w:rsidR="00FC7DB1" w:rsidRPr="00FC7DB1">
        <w:rPr>
          <w:rFonts w:ascii="Candara" w:hAnsi="Candara"/>
          <w:b/>
          <w:bCs/>
        </w:rPr>
        <w:t>.</w:t>
      </w:r>
    </w:p>
    <w:p w:rsidR="00FC7DB1" w:rsidRPr="00FC7DB1" w:rsidRDefault="00FC7DB1" w:rsidP="00FC7DB1">
      <w:pPr>
        <w:ind w:right="-7"/>
        <w:jc w:val="both"/>
        <w:rPr>
          <w:rFonts w:ascii="Candara" w:hAnsi="Candara"/>
          <w:b/>
          <w:bCs/>
        </w:rPr>
      </w:pPr>
    </w:p>
    <w:p w:rsidR="00FC7DB1" w:rsidRPr="00FC7DB1" w:rsidRDefault="00FC7DB1" w:rsidP="00FC7DB1">
      <w:pPr>
        <w:ind w:right="-7"/>
        <w:jc w:val="both"/>
        <w:rPr>
          <w:rFonts w:ascii="Candara" w:hAnsi="Candara"/>
          <w:lang w:val="es-ES" w:eastAsia="es-ES"/>
        </w:rPr>
      </w:pPr>
      <w:r w:rsidRPr="00FC7DB1">
        <w:rPr>
          <w:rFonts w:ascii="Candara" w:hAnsi="Candara"/>
          <w:lang w:val="es-ES" w:eastAsia="es-ES"/>
        </w:rPr>
        <w:t>La situación económica del sector de la construcción y, particularm</w:t>
      </w:r>
      <w:r w:rsidR="00F5195B">
        <w:rPr>
          <w:rFonts w:ascii="Candara" w:hAnsi="Candara"/>
          <w:lang w:val="es-ES" w:eastAsia="es-ES"/>
        </w:rPr>
        <w:t>ente la de esta industria</w:t>
      </w:r>
      <w:r w:rsidR="00BD2EAA">
        <w:rPr>
          <w:rFonts w:ascii="Candara" w:hAnsi="Candara"/>
          <w:lang w:val="es-ES" w:eastAsia="es-ES"/>
        </w:rPr>
        <w:t xml:space="preserve">, </w:t>
      </w:r>
      <w:r w:rsidRPr="00FC7DB1">
        <w:rPr>
          <w:rFonts w:ascii="Candara" w:hAnsi="Candara"/>
          <w:lang w:val="es-ES" w:eastAsia="es-ES"/>
        </w:rPr>
        <w:t xml:space="preserve"> </w:t>
      </w:r>
      <w:r w:rsidR="00BD2EAA">
        <w:rPr>
          <w:rFonts w:ascii="Candara" w:hAnsi="Candara"/>
          <w:lang w:val="es-ES" w:eastAsia="es-ES"/>
        </w:rPr>
        <w:t>son</w:t>
      </w:r>
      <w:r w:rsidR="00F5195B">
        <w:rPr>
          <w:rFonts w:ascii="Candara" w:hAnsi="Candara"/>
          <w:lang w:val="es-ES" w:eastAsia="es-ES"/>
        </w:rPr>
        <w:t xml:space="preserve"> temas prioritarios</w:t>
      </w:r>
      <w:r w:rsidRPr="00FC7DB1">
        <w:rPr>
          <w:rFonts w:ascii="Candara" w:hAnsi="Candara"/>
          <w:lang w:val="es-ES" w:eastAsia="es-ES"/>
        </w:rPr>
        <w:t>, así como</w:t>
      </w:r>
      <w:r w:rsidR="00F5195B">
        <w:rPr>
          <w:rFonts w:ascii="Candara" w:hAnsi="Candara"/>
          <w:lang w:val="es-ES" w:eastAsia="es-ES"/>
        </w:rPr>
        <w:t xml:space="preserve"> </w:t>
      </w:r>
      <w:r w:rsidRPr="00FC7DB1">
        <w:rPr>
          <w:rFonts w:ascii="Candara" w:hAnsi="Candara"/>
          <w:lang w:val="es-ES" w:eastAsia="es-ES"/>
        </w:rPr>
        <w:t xml:space="preserve"> </w:t>
      </w:r>
      <w:r w:rsidR="00F5195B">
        <w:rPr>
          <w:rFonts w:ascii="Candara" w:hAnsi="Candara"/>
          <w:lang w:val="es-ES" w:eastAsia="es-ES"/>
        </w:rPr>
        <w:t xml:space="preserve">las soluciones para </w:t>
      </w:r>
      <w:r w:rsidR="00F5195B" w:rsidRPr="00F5195B">
        <w:rPr>
          <w:rFonts w:ascii="Candara" w:hAnsi="Candara"/>
          <w:bCs/>
        </w:rPr>
        <w:t>afrontar la crisis</w:t>
      </w:r>
      <w:r w:rsidR="00F5195B">
        <w:rPr>
          <w:rFonts w:ascii="Candara" w:hAnsi="Candara"/>
          <w:bCs/>
        </w:rPr>
        <w:t xml:space="preserve"> y </w:t>
      </w:r>
      <w:r w:rsidR="00F5195B" w:rsidRPr="00F5195B">
        <w:rPr>
          <w:rFonts w:ascii="Candara" w:hAnsi="Candara"/>
          <w:bCs/>
        </w:rPr>
        <w:t xml:space="preserve"> </w:t>
      </w:r>
      <w:r w:rsidRPr="00FC7DB1">
        <w:rPr>
          <w:rFonts w:ascii="Candara" w:hAnsi="Candara"/>
          <w:lang w:val="es-ES" w:eastAsia="es-ES"/>
        </w:rPr>
        <w:t>las numerosas iniciativas de ANEFA para defender los intereses de las empresas miembro, en todos los ámbitos de la actividad.</w:t>
      </w:r>
    </w:p>
    <w:p w:rsidR="00FC7DB1" w:rsidRDefault="00FC7DB1" w:rsidP="00FC7DB1">
      <w:pPr>
        <w:ind w:right="-7"/>
        <w:jc w:val="both"/>
        <w:rPr>
          <w:rFonts w:ascii="Candara" w:hAnsi="Candara"/>
          <w:b/>
          <w:bCs/>
        </w:rPr>
      </w:pPr>
    </w:p>
    <w:p w:rsidR="00FC7DB1" w:rsidRDefault="00FC7DB1" w:rsidP="00FC7DB1">
      <w:pPr>
        <w:ind w:right="-7"/>
        <w:jc w:val="both"/>
        <w:rPr>
          <w:rFonts w:ascii="Candara" w:hAnsi="Candara"/>
        </w:rPr>
      </w:pPr>
      <w:r w:rsidRPr="00FC7DB1">
        <w:rPr>
          <w:rFonts w:ascii="Candara" w:hAnsi="Candara"/>
        </w:rPr>
        <w:t xml:space="preserve">Previamente </w:t>
      </w:r>
      <w:r w:rsidR="00190961">
        <w:rPr>
          <w:rFonts w:ascii="Candara" w:hAnsi="Candara"/>
        </w:rPr>
        <w:t xml:space="preserve">a la Asamblea, </w:t>
      </w:r>
      <w:r w:rsidR="00F5195B">
        <w:rPr>
          <w:rFonts w:ascii="Candara" w:hAnsi="Candara"/>
        </w:rPr>
        <w:t xml:space="preserve">en </w:t>
      </w:r>
      <w:r w:rsidRPr="00FC7DB1">
        <w:rPr>
          <w:rFonts w:ascii="Candara" w:hAnsi="Candara"/>
          <w:b/>
        </w:rPr>
        <w:t xml:space="preserve">rueda de prensa, </w:t>
      </w:r>
      <w:r w:rsidR="00F5195B">
        <w:rPr>
          <w:rFonts w:ascii="Candara" w:hAnsi="Candara"/>
        </w:rPr>
        <w:t xml:space="preserve">se presenta </w:t>
      </w:r>
      <w:r w:rsidRPr="00FC7DB1">
        <w:rPr>
          <w:rFonts w:ascii="Candara" w:hAnsi="Candara"/>
        </w:rPr>
        <w:t>a los m</w:t>
      </w:r>
      <w:r w:rsidR="00FD1B44">
        <w:rPr>
          <w:rFonts w:ascii="Candara" w:hAnsi="Candara"/>
        </w:rPr>
        <w:t>edios de comunicación</w:t>
      </w:r>
      <w:r w:rsidR="000D6DDD">
        <w:rPr>
          <w:rFonts w:ascii="Candara" w:hAnsi="Candara"/>
        </w:rPr>
        <w:t xml:space="preserve"> el</w:t>
      </w:r>
      <w:r w:rsidR="00FD1B44">
        <w:rPr>
          <w:rFonts w:ascii="Candara" w:hAnsi="Candara"/>
        </w:rPr>
        <w:t xml:space="preserve"> </w:t>
      </w:r>
      <w:r w:rsidRPr="00FC7DB1">
        <w:rPr>
          <w:rFonts w:ascii="Candara" w:hAnsi="Candara"/>
          <w:b/>
        </w:rPr>
        <w:t>INFORME ESTADÍSTICO ANUAL DEL SECTOR DE LOS ÁRIDOS,</w:t>
      </w:r>
      <w:r w:rsidRPr="00FC7DB1">
        <w:rPr>
          <w:rFonts w:ascii="Candara" w:hAnsi="Candara"/>
        </w:rPr>
        <w:t xml:space="preserve"> elaborado por la Asociación.</w:t>
      </w:r>
    </w:p>
    <w:p w:rsidR="00FD1B44" w:rsidRPr="00FC7DB1" w:rsidRDefault="00FD1B44" w:rsidP="00FC7DB1">
      <w:pPr>
        <w:ind w:right="-7"/>
        <w:jc w:val="both"/>
        <w:rPr>
          <w:rFonts w:ascii="Candara" w:hAnsi="Candara"/>
        </w:rPr>
      </w:pPr>
    </w:p>
    <w:p w:rsidR="00FC7DB1" w:rsidRPr="00FD1B44" w:rsidRDefault="00FD1B44" w:rsidP="00FC7DB1">
      <w:pPr>
        <w:ind w:right="-7"/>
        <w:jc w:val="both"/>
        <w:rPr>
          <w:rFonts w:ascii="Candara" w:hAnsi="Candara"/>
        </w:rPr>
      </w:pPr>
      <w:r w:rsidRPr="00FD1B44">
        <w:rPr>
          <w:rFonts w:ascii="Candara" w:hAnsi="Candara"/>
        </w:rPr>
        <w:t>Las empresas miembro adherido Barloworld Finanzauto, Maxam Europe y Peris Correduría de Seguros colaboran en el patrocinio de la Asamblea.</w:t>
      </w:r>
    </w:p>
    <w:p w:rsidR="00FD1B44" w:rsidRDefault="00FD1B44" w:rsidP="007D60B0">
      <w:pPr>
        <w:pStyle w:val="Ttulo2"/>
        <w:spacing w:before="120"/>
        <w:jc w:val="center"/>
        <w:rPr>
          <w:rFonts w:ascii="Candara" w:hAnsi="Candara"/>
          <w:b/>
          <w:i w:val="0"/>
          <w:caps/>
          <w:color w:val="E36C0A"/>
          <w:sz w:val="32"/>
          <w:szCs w:val="32"/>
          <w:u w:val="single"/>
          <w:lang w:val="es-ES"/>
        </w:rPr>
      </w:pPr>
      <w:r w:rsidRPr="00FD1B44">
        <w:rPr>
          <w:rFonts w:ascii="Candara" w:hAnsi="Candara"/>
          <w:b/>
          <w:i w:val="0"/>
          <w:caps/>
          <w:color w:val="E36C0A"/>
          <w:sz w:val="32"/>
          <w:szCs w:val="32"/>
          <w:u w:val="single"/>
        </w:rPr>
        <w:lastRenderedPageBreak/>
        <w:t>EL CONSUMO DE ÁRIDOS</w:t>
      </w:r>
      <w:r w:rsidRPr="00FD1B44">
        <w:rPr>
          <w:rFonts w:ascii="Candara" w:hAnsi="Candara"/>
          <w:b/>
          <w:i w:val="0"/>
          <w:caps/>
          <w:color w:val="E36C0A"/>
          <w:sz w:val="32"/>
          <w:szCs w:val="32"/>
          <w:u w:val="single"/>
          <w:lang w:val="es-ES"/>
        </w:rPr>
        <w:t xml:space="preserve"> retrocede un -77% desde 2006</w:t>
      </w:r>
    </w:p>
    <w:p w:rsidR="00FD1B44" w:rsidRPr="00FD1B44" w:rsidRDefault="00FD1B44" w:rsidP="00FD1B44">
      <w:pPr>
        <w:rPr>
          <w:lang w:val="es-ES"/>
        </w:rPr>
      </w:pPr>
    </w:p>
    <w:p w:rsidR="00BD2EAA" w:rsidRPr="00FD1B44" w:rsidRDefault="00BD2EAA" w:rsidP="00BD2EAA">
      <w:pPr>
        <w:pStyle w:val="Textoindependiente"/>
        <w:spacing w:before="120"/>
        <w:rPr>
          <w:rFonts w:ascii="Candara" w:hAnsi="Candara" w:cs="Tahoma"/>
        </w:rPr>
      </w:pPr>
      <w:r w:rsidRPr="00FD1B44">
        <w:rPr>
          <w:rFonts w:ascii="Candara" w:hAnsi="Candara" w:cs="Tahoma"/>
        </w:rPr>
        <w:t xml:space="preserve">El sector de los áridos es el principal suministrador de materias primas para la construcción de infraestructuras, para la industria y para la protección del medio ambiente, lo que le confiere el carácter de industria estratégica. Sirva decir que es la </w:t>
      </w:r>
      <w:r w:rsidRPr="00FD1B44">
        <w:rPr>
          <w:rFonts w:ascii="Candara" w:hAnsi="Candara" w:cs="Tahoma"/>
          <w:b/>
        </w:rPr>
        <w:t>segunda materia prima más consumida por el hombre después del agua</w:t>
      </w:r>
      <w:r w:rsidRPr="00FD1B44">
        <w:rPr>
          <w:rFonts w:ascii="Candara" w:hAnsi="Candara" w:cs="Tahoma"/>
        </w:rPr>
        <w:t xml:space="preserve"> y que </w:t>
      </w:r>
      <w:r w:rsidRPr="00DA0098">
        <w:rPr>
          <w:rFonts w:ascii="Candara" w:hAnsi="Candara" w:cs="Tahoma"/>
          <w:b/>
        </w:rPr>
        <w:t>cada español ha consumido, en 2012, unos 2.400 kilogramos anuales</w:t>
      </w:r>
      <w:r w:rsidRPr="00FD1B44">
        <w:rPr>
          <w:rFonts w:ascii="Candara" w:hAnsi="Candara" w:cs="Tahoma"/>
        </w:rPr>
        <w:t>, es decir</w:t>
      </w:r>
      <w:r w:rsidR="00FD1B44">
        <w:rPr>
          <w:rFonts w:ascii="Candara" w:hAnsi="Candara" w:cs="Tahoma"/>
          <w:lang w:val="es-ES"/>
        </w:rPr>
        <w:t>,</w:t>
      </w:r>
      <w:r w:rsidRPr="00FD1B44">
        <w:rPr>
          <w:rFonts w:ascii="Candara" w:hAnsi="Candara" w:cs="Tahoma"/>
        </w:rPr>
        <w:t xml:space="preserve"> unos 6,5 kilogramos diarios (en 2007 se consumieron cerca de 33 kilogramos diarios).</w:t>
      </w:r>
    </w:p>
    <w:p w:rsidR="00BD2EAA" w:rsidRPr="00FD1B44" w:rsidRDefault="00BD2EAA" w:rsidP="00BD2EAA">
      <w:pPr>
        <w:pStyle w:val="Textoindependiente"/>
        <w:spacing w:before="120"/>
        <w:rPr>
          <w:rFonts w:ascii="Candara" w:hAnsi="Candara" w:cs="Tahoma"/>
        </w:rPr>
      </w:pPr>
      <w:r w:rsidRPr="00FD1B44">
        <w:rPr>
          <w:rFonts w:ascii="Candara" w:hAnsi="Candara" w:cs="Tahoma"/>
        </w:rPr>
        <w:t>Los áridos se emplean en estas obras, como hormigón preparado, prefabricados de hormigón (el 80% del hormigón son áridos), mortero, aglomerados asfálticos (el 95% son áridos), construcción de carreteras (el 94% de los materiales necesarios para una carretera son áridos), ferrocarriles (balasto), etc.</w:t>
      </w:r>
    </w:p>
    <w:p w:rsidR="00BD2EAA" w:rsidRPr="00FD1B44" w:rsidRDefault="00BD2EAA" w:rsidP="00BD2EAA">
      <w:pPr>
        <w:pStyle w:val="Textoindependiente"/>
        <w:spacing w:before="120"/>
        <w:rPr>
          <w:rFonts w:ascii="Candara" w:hAnsi="Candara" w:cs="Tahoma"/>
        </w:rPr>
      </w:pPr>
      <w:r w:rsidRPr="00FD1B44">
        <w:rPr>
          <w:rFonts w:ascii="Candara" w:hAnsi="Candara" w:cs="Tahoma"/>
        </w:rPr>
        <w:t>Estos materiales se emplean, mayoritariamente en las etapas iniciales de las obras, por lo que la evolución de su consumo es un buen indicador adelantado de la eficacia de los planes de infraestructuras.</w:t>
      </w:r>
    </w:p>
    <w:p w:rsidR="00BD2EAA" w:rsidRPr="00FD1B44" w:rsidRDefault="00BD2EAA" w:rsidP="00BD2EAA">
      <w:pPr>
        <w:pStyle w:val="Textoindependiente"/>
        <w:spacing w:before="120"/>
        <w:rPr>
          <w:rFonts w:ascii="Candara" w:hAnsi="Candara" w:cs="Tahoma"/>
        </w:rPr>
      </w:pPr>
      <w:r w:rsidRPr="00FD1B44">
        <w:rPr>
          <w:rFonts w:ascii="Candara" w:hAnsi="Candara" w:cs="Tahoma"/>
        </w:rPr>
        <w:t xml:space="preserve">Según las estimaciones preliminares, en el sexto año consecutivo de crisis del sector, el </w:t>
      </w:r>
      <w:r w:rsidRPr="00DA0098">
        <w:rPr>
          <w:rFonts w:ascii="Candara" w:hAnsi="Candara" w:cs="Tahoma"/>
          <w:b/>
        </w:rPr>
        <w:t>consumo de áridos para la construcción se ha vuelto a desplomar un -35%</w:t>
      </w:r>
      <w:r w:rsidRPr="00FD1B44">
        <w:rPr>
          <w:rFonts w:ascii="Candara" w:hAnsi="Candara" w:cs="Tahoma"/>
        </w:rPr>
        <w:t xml:space="preserve">, hasta alcanzar unos valores absolutos nunca vistos, de </w:t>
      </w:r>
      <w:r w:rsidRPr="00DA0098">
        <w:rPr>
          <w:rFonts w:ascii="Candara" w:hAnsi="Candara" w:cs="Tahoma"/>
          <w:b/>
        </w:rPr>
        <w:t>menos de 115 millones de toneladas</w:t>
      </w:r>
      <w:r w:rsidRPr="00FD1B44">
        <w:rPr>
          <w:rFonts w:ascii="Candara" w:hAnsi="Candara" w:cs="Tahoma"/>
        </w:rPr>
        <w:t xml:space="preserve">. </w:t>
      </w:r>
      <w:r w:rsidRPr="00DA0098">
        <w:rPr>
          <w:rFonts w:ascii="Candara" w:hAnsi="Candara" w:cs="Tahoma"/>
          <w:b/>
        </w:rPr>
        <w:t>Desde 2006</w:t>
      </w:r>
      <w:r w:rsidRPr="00FD1B44">
        <w:rPr>
          <w:rFonts w:ascii="Candara" w:hAnsi="Candara" w:cs="Tahoma"/>
        </w:rPr>
        <w:t xml:space="preserve">, el consumo ha </w:t>
      </w:r>
      <w:r w:rsidRPr="00DA0098">
        <w:rPr>
          <w:rFonts w:ascii="Candara" w:hAnsi="Candara" w:cs="Tahoma"/>
          <w:b/>
        </w:rPr>
        <w:t>retrocedido cerca del -77%,</w:t>
      </w:r>
      <w:r w:rsidRPr="00FD1B44">
        <w:rPr>
          <w:rFonts w:ascii="Candara" w:hAnsi="Candara" w:cs="Tahoma"/>
        </w:rPr>
        <w:t xml:space="preserve"> arrastrando a su vez al volumen de negocio sectorial que es, en la actualidad, el 19% del registrado ese año.</w:t>
      </w:r>
    </w:p>
    <w:p w:rsidR="00BD2EAA" w:rsidRPr="00FD1B44" w:rsidRDefault="00BD2EAA" w:rsidP="00BD2EAA">
      <w:pPr>
        <w:numPr>
          <w:ilvl w:val="0"/>
          <w:numId w:val="13"/>
        </w:numPr>
        <w:spacing w:before="120"/>
        <w:jc w:val="both"/>
        <w:rPr>
          <w:rFonts w:ascii="Candara" w:hAnsi="Candara" w:cs="Tahoma"/>
          <w:bCs/>
        </w:rPr>
      </w:pPr>
      <w:r w:rsidRPr="00FD1B44">
        <w:rPr>
          <w:rFonts w:ascii="Candara" w:hAnsi="Candara" w:cs="Tahoma"/>
          <w:bCs/>
        </w:rPr>
        <w:t>112,5 millones de toneladas (-34,97%) de áridos naturales para la construcción. A esta cantidad hay que añadir 0,7 millones de toneladas de áridos reciclados.</w:t>
      </w:r>
    </w:p>
    <w:p w:rsidR="00BD2EAA" w:rsidRPr="000424B5" w:rsidRDefault="001F5AF1" w:rsidP="00BD2EAA">
      <w:pPr>
        <w:spacing w:before="120"/>
        <w:jc w:val="both"/>
        <w:rPr>
          <w:rFonts w:ascii="Calibri" w:hAnsi="Calibri" w:cs="Tahoma"/>
          <w:sz w:val="22"/>
          <w:szCs w:val="22"/>
        </w:rPr>
      </w:pPr>
      <w:r>
        <w:rPr>
          <w:rFonts w:ascii="Calibri" w:hAnsi="Calibri"/>
          <w:noProof/>
          <w:sz w:val="22"/>
          <w:szCs w:val="22"/>
          <w:lang w:val="es-ES" w:eastAsia="es-ES"/>
        </w:rPr>
        <w:drawing>
          <wp:inline distT="0" distB="0" distL="0" distR="0">
            <wp:extent cx="5394452" cy="2518029"/>
            <wp:effectExtent l="12192" t="6096" r="3556" b="0"/>
            <wp:docPr id="3"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D2EAA" w:rsidRPr="000424B5" w:rsidRDefault="00BD2EAA" w:rsidP="00BD2EAA">
      <w:pPr>
        <w:jc w:val="center"/>
        <w:rPr>
          <w:rFonts w:ascii="Calibri" w:hAnsi="Calibri"/>
          <w:bCs/>
          <w:i/>
          <w:sz w:val="22"/>
          <w:szCs w:val="22"/>
          <w:lang w:val="es-ES"/>
        </w:rPr>
      </w:pPr>
      <w:r w:rsidRPr="000424B5">
        <w:rPr>
          <w:rFonts w:ascii="Calibri" w:hAnsi="Calibri"/>
          <w:bCs/>
          <w:i/>
          <w:sz w:val="22"/>
          <w:szCs w:val="22"/>
          <w:lang w:val="es-ES"/>
        </w:rPr>
        <w:t>Consumo de áridos para la construcción 1980 – 2012. ANEFA</w:t>
      </w:r>
      <w:r>
        <w:rPr>
          <w:rFonts w:ascii="Calibri" w:hAnsi="Calibri"/>
          <w:bCs/>
          <w:i/>
          <w:sz w:val="22"/>
          <w:szCs w:val="22"/>
          <w:lang w:val="es-ES"/>
        </w:rPr>
        <w:t>.</w:t>
      </w:r>
    </w:p>
    <w:p w:rsidR="00BD2EAA" w:rsidRPr="00DA0098" w:rsidRDefault="00BD2EAA" w:rsidP="00BD2EAA">
      <w:pPr>
        <w:numPr>
          <w:ilvl w:val="0"/>
          <w:numId w:val="13"/>
        </w:numPr>
        <w:spacing w:before="120"/>
        <w:jc w:val="both"/>
        <w:rPr>
          <w:rFonts w:ascii="Candara" w:hAnsi="Candara" w:cs="Tahoma"/>
          <w:bCs/>
        </w:rPr>
      </w:pPr>
      <w:r w:rsidRPr="00DA0098">
        <w:rPr>
          <w:rFonts w:ascii="Candara" w:hAnsi="Candara" w:cs="Tahoma"/>
          <w:bCs/>
        </w:rPr>
        <w:t xml:space="preserve">Esto representa una </w:t>
      </w:r>
      <w:r w:rsidRPr="007D60B0">
        <w:rPr>
          <w:rFonts w:ascii="Candara" w:hAnsi="Candara" w:cs="Tahoma"/>
          <w:b/>
          <w:bCs/>
        </w:rPr>
        <w:t>caída del -76,82% desde el máximo previo a la crisis (2006)</w:t>
      </w:r>
      <w:r w:rsidRPr="00DA0098">
        <w:rPr>
          <w:rFonts w:ascii="Candara" w:hAnsi="Candara" w:cs="Tahoma"/>
          <w:bCs/>
        </w:rPr>
        <w:t>, momento en el que la producción era de 486 Mt.</w:t>
      </w:r>
    </w:p>
    <w:p w:rsidR="00BD2EAA" w:rsidRPr="00DA0098" w:rsidRDefault="00BD2EAA" w:rsidP="00BD2EAA">
      <w:pPr>
        <w:spacing w:before="120"/>
        <w:jc w:val="both"/>
        <w:rPr>
          <w:rFonts w:ascii="Candara" w:hAnsi="Candara" w:cs="Tahoma"/>
          <w:bCs/>
        </w:rPr>
      </w:pPr>
      <w:r w:rsidRPr="00DA0098">
        <w:rPr>
          <w:rFonts w:ascii="Candara" w:hAnsi="Candara" w:cs="Tahoma"/>
          <w:bCs/>
        </w:rPr>
        <w:t>Además, se ha producido un nuevo retroceso en el consumo de áridos para aplicaciones industriales</w:t>
      </w:r>
      <w:r w:rsidRPr="00DA0098">
        <w:rPr>
          <w:rFonts w:ascii="Candara" w:hAnsi="Candara" w:cs="Tahoma"/>
        </w:rPr>
        <w:t xml:space="preserve">, tales como cementos, vidrios, cargas, filtros, industria química, siderurgia y metalurgia, etc., hasta los </w:t>
      </w:r>
      <w:r w:rsidRPr="00DA0098">
        <w:rPr>
          <w:rFonts w:ascii="Candara" w:hAnsi="Candara" w:cs="Tahoma"/>
          <w:bCs/>
        </w:rPr>
        <w:t>25 millones de toneladas (-24,2%).</w:t>
      </w:r>
    </w:p>
    <w:p w:rsidR="00BD2EAA" w:rsidRPr="00DA0098" w:rsidRDefault="00BD2EAA" w:rsidP="00BD2EAA">
      <w:pPr>
        <w:spacing w:before="120"/>
        <w:jc w:val="both"/>
        <w:rPr>
          <w:rFonts w:ascii="Candara" w:hAnsi="Candara" w:cs="Tahoma"/>
          <w:bCs/>
        </w:rPr>
      </w:pPr>
      <w:r w:rsidRPr="00DA0098">
        <w:rPr>
          <w:rFonts w:ascii="Candara" w:hAnsi="Candara" w:cs="Tahoma"/>
        </w:rPr>
        <w:lastRenderedPageBreak/>
        <w:t xml:space="preserve">Por lo tanto, el </w:t>
      </w:r>
      <w:r w:rsidRPr="00DA0098">
        <w:rPr>
          <w:rFonts w:ascii="Candara" w:hAnsi="Candara" w:cs="Tahoma"/>
          <w:bCs/>
        </w:rPr>
        <w:t>consumo total de áridos,</w:t>
      </w:r>
      <w:r w:rsidRPr="00DA0098">
        <w:rPr>
          <w:rFonts w:ascii="Candara" w:hAnsi="Candara" w:cs="Tahoma"/>
        </w:rPr>
        <w:t xml:space="preserve"> en el año 2012, ha sido de unos </w:t>
      </w:r>
      <w:r w:rsidRPr="00DA0098">
        <w:rPr>
          <w:rFonts w:ascii="Candara" w:hAnsi="Candara" w:cs="Tahoma"/>
          <w:bCs/>
        </w:rPr>
        <w:t>137,5 millones de toneladas (-33,25%).</w:t>
      </w:r>
    </w:p>
    <w:p w:rsidR="00BD2EAA" w:rsidRPr="000424B5" w:rsidRDefault="001F5AF1" w:rsidP="00BD2EAA">
      <w:pPr>
        <w:spacing w:before="120"/>
        <w:jc w:val="both"/>
        <w:rPr>
          <w:rFonts w:ascii="Calibri" w:hAnsi="Calibri" w:cs="Tahoma"/>
          <w:bCs/>
          <w:sz w:val="22"/>
          <w:szCs w:val="22"/>
          <w:highlight w:val="green"/>
        </w:rPr>
      </w:pPr>
      <w:r>
        <w:rPr>
          <w:rFonts w:ascii="Calibri" w:hAnsi="Calibri"/>
          <w:noProof/>
          <w:sz w:val="22"/>
          <w:szCs w:val="22"/>
          <w:lang w:val="es-ES" w:eastAsia="es-ES"/>
        </w:rPr>
        <w:drawing>
          <wp:inline distT="0" distB="0" distL="0" distR="0">
            <wp:extent cx="5410200" cy="2476500"/>
            <wp:effectExtent l="19050" t="0" r="0" b="0"/>
            <wp:docPr id="4" name="Gráfico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2"/>
                    <pic:cNvPicPr>
                      <a:picLocks noChangeArrowheads="1"/>
                    </pic:cNvPicPr>
                  </pic:nvPicPr>
                  <pic:blipFill>
                    <a:blip r:embed="rId15" cstate="print"/>
                    <a:srcRect/>
                    <a:stretch>
                      <a:fillRect/>
                    </a:stretch>
                  </pic:blipFill>
                  <pic:spPr bwMode="auto">
                    <a:xfrm>
                      <a:off x="0" y="0"/>
                      <a:ext cx="5410200" cy="2476500"/>
                    </a:xfrm>
                    <a:prstGeom prst="rect">
                      <a:avLst/>
                    </a:prstGeom>
                    <a:noFill/>
                    <a:ln w="9525">
                      <a:noFill/>
                      <a:miter lim="800000"/>
                      <a:headEnd/>
                      <a:tailEnd/>
                    </a:ln>
                  </pic:spPr>
                </pic:pic>
              </a:graphicData>
            </a:graphic>
          </wp:inline>
        </w:drawing>
      </w:r>
    </w:p>
    <w:p w:rsidR="007D60B0" w:rsidRDefault="007D60B0" w:rsidP="00BD2EAA">
      <w:pPr>
        <w:spacing w:before="120"/>
        <w:jc w:val="both"/>
        <w:rPr>
          <w:rFonts w:ascii="Candara" w:hAnsi="Candara" w:cs="Tahoma"/>
          <w:bCs/>
        </w:rPr>
      </w:pPr>
    </w:p>
    <w:p w:rsidR="00BD2EAA" w:rsidRPr="007D60B0" w:rsidRDefault="00BD2EAA" w:rsidP="00BD2EAA">
      <w:pPr>
        <w:spacing w:before="120"/>
        <w:jc w:val="both"/>
        <w:rPr>
          <w:rFonts w:ascii="Candara" w:hAnsi="Candara" w:cs="Tahoma"/>
          <w:bCs/>
        </w:rPr>
      </w:pPr>
      <w:r w:rsidRPr="007D60B0">
        <w:rPr>
          <w:rFonts w:ascii="Candara" w:hAnsi="Candara" w:cs="Tahoma"/>
          <w:bCs/>
        </w:rPr>
        <w:t xml:space="preserve">Se estima en </w:t>
      </w:r>
      <w:r w:rsidRPr="007D60B0">
        <w:rPr>
          <w:rFonts w:ascii="Candara" w:hAnsi="Candara" w:cs="Tahoma"/>
          <w:b/>
          <w:bCs/>
        </w:rPr>
        <w:t>550 millones de euros el volumen de negocio</w:t>
      </w:r>
      <w:r w:rsidRPr="007D60B0">
        <w:rPr>
          <w:rFonts w:ascii="Candara" w:hAnsi="Candara" w:cs="Tahoma"/>
          <w:bCs/>
        </w:rPr>
        <w:t xml:space="preserve"> del sector de áridos para la construcción, excluido el transporte. La </w:t>
      </w:r>
      <w:r w:rsidRPr="007D60B0">
        <w:rPr>
          <w:rFonts w:ascii="Candara" w:hAnsi="Candara" w:cs="Tahoma"/>
          <w:b/>
          <w:bCs/>
        </w:rPr>
        <w:t>caída acumulada</w:t>
      </w:r>
      <w:r w:rsidRPr="007D60B0">
        <w:rPr>
          <w:rFonts w:ascii="Candara" w:hAnsi="Candara" w:cs="Tahoma"/>
          <w:bCs/>
        </w:rPr>
        <w:t xml:space="preserve"> en términos constantes, desde 2007 hasta 2012, es del </w:t>
      </w:r>
      <w:r w:rsidRPr="007D60B0">
        <w:rPr>
          <w:rFonts w:ascii="Candara" w:hAnsi="Candara" w:cs="Tahoma"/>
          <w:b/>
          <w:bCs/>
        </w:rPr>
        <w:t>-81%.</w:t>
      </w:r>
    </w:p>
    <w:tbl>
      <w:tblPr>
        <w:tblpPr w:leftFromText="141" w:rightFromText="141" w:vertAnchor="text" w:horzAnchor="page" w:tblpX="1630" w:tblpY="3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tblPr>
      <w:tblGrid>
        <w:gridCol w:w="2721"/>
        <w:gridCol w:w="1544"/>
        <w:gridCol w:w="1487"/>
        <w:gridCol w:w="1483"/>
        <w:gridCol w:w="1479"/>
      </w:tblGrid>
      <w:tr w:rsidR="00BD2EAA" w:rsidRPr="007D60B0" w:rsidTr="007D60B0">
        <w:trPr>
          <w:trHeight w:val="20"/>
        </w:trPr>
        <w:tc>
          <w:tcPr>
            <w:tcW w:w="5000" w:type="pct"/>
            <w:gridSpan w:val="5"/>
            <w:shd w:val="clear" w:color="auto" w:fill="F79646"/>
            <w:noWrap/>
          </w:tcPr>
          <w:p w:rsidR="00BD2EAA" w:rsidRPr="007D60B0" w:rsidRDefault="00BD2EAA" w:rsidP="00BD2EAA">
            <w:pPr>
              <w:jc w:val="center"/>
              <w:rPr>
                <w:rFonts w:ascii="Candara" w:hAnsi="Candara" w:cs="Tahoma"/>
                <w:b/>
                <w:bCs/>
              </w:rPr>
            </w:pPr>
            <w:r w:rsidRPr="007D60B0">
              <w:rPr>
                <w:rFonts w:ascii="Candara" w:hAnsi="Candara" w:cs="Tahoma"/>
                <w:b/>
              </w:rPr>
              <w:t>CONSUMO DE ÁRIDOS PARA LA CONSTRUCCIÓN POR COMUNIDADES AUTÓNOMAS</w:t>
            </w:r>
          </w:p>
          <w:p w:rsidR="00BD2EAA" w:rsidRPr="007D60B0" w:rsidRDefault="00BD2EAA" w:rsidP="00BD2EAA">
            <w:pPr>
              <w:jc w:val="center"/>
              <w:rPr>
                <w:rFonts w:ascii="Candara" w:hAnsi="Candara" w:cs="Tahoma"/>
                <w:b/>
                <w:bCs/>
              </w:rPr>
            </w:pPr>
            <w:r w:rsidRPr="007D60B0">
              <w:rPr>
                <w:rFonts w:ascii="Candara" w:hAnsi="Candara" w:cs="Tahoma"/>
                <w:b/>
              </w:rPr>
              <w:t>(MILLONES DE TONELADAS)</w:t>
            </w:r>
          </w:p>
          <w:p w:rsidR="00BD2EAA" w:rsidRPr="007D60B0" w:rsidRDefault="00BD2EAA" w:rsidP="00BD2EAA">
            <w:pPr>
              <w:jc w:val="center"/>
              <w:rPr>
                <w:rFonts w:ascii="Candara" w:hAnsi="Candara" w:cs="Tahoma"/>
                <w:b/>
                <w:bCs/>
              </w:rPr>
            </w:pPr>
            <w:r w:rsidRPr="007D60B0">
              <w:rPr>
                <w:rFonts w:ascii="Candara" w:hAnsi="Candara" w:cs="Tahoma"/>
                <w:b/>
              </w:rPr>
              <w:t>2012</w:t>
            </w:r>
          </w:p>
        </w:tc>
      </w:tr>
      <w:tr w:rsidR="00BD2EAA" w:rsidRPr="007D60B0" w:rsidTr="00BD2EAA">
        <w:trPr>
          <w:trHeight w:val="20"/>
        </w:trPr>
        <w:tc>
          <w:tcPr>
            <w:tcW w:w="1563" w:type="pct"/>
            <w:noWrap/>
          </w:tcPr>
          <w:p w:rsidR="00BD2EAA" w:rsidRPr="007D60B0" w:rsidRDefault="00BD2EAA" w:rsidP="00BD2EAA">
            <w:pPr>
              <w:jc w:val="center"/>
              <w:rPr>
                <w:rFonts w:ascii="Candara" w:hAnsi="Candara" w:cs="Tahoma"/>
                <w:b/>
                <w:bCs/>
              </w:rPr>
            </w:pPr>
          </w:p>
        </w:tc>
        <w:tc>
          <w:tcPr>
            <w:tcW w:w="886" w:type="pct"/>
          </w:tcPr>
          <w:p w:rsidR="00BD2EAA" w:rsidRPr="007D60B0" w:rsidRDefault="00BD2EAA" w:rsidP="00BD2EAA">
            <w:pPr>
              <w:jc w:val="center"/>
              <w:rPr>
                <w:rFonts w:ascii="Candara" w:hAnsi="Candara" w:cs="Tahoma"/>
                <w:b/>
                <w:bCs/>
              </w:rPr>
            </w:pPr>
            <w:r w:rsidRPr="007D60B0">
              <w:rPr>
                <w:rFonts w:ascii="Candara" w:hAnsi="Candara" w:cs="Tahoma"/>
                <w:b/>
                <w:bCs/>
              </w:rPr>
              <w:t>2011</w:t>
            </w:r>
          </w:p>
        </w:tc>
        <w:tc>
          <w:tcPr>
            <w:tcW w:w="853" w:type="pct"/>
          </w:tcPr>
          <w:p w:rsidR="00BD2EAA" w:rsidRPr="007D60B0" w:rsidRDefault="00BD2EAA" w:rsidP="00BD2EAA">
            <w:pPr>
              <w:jc w:val="center"/>
              <w:rPr>
                <w:rFonts w:ascii="Candara" w:hAnsi="Candara" w:cs="Tahoma"/>
                <w:b/>
                <w:bCs/>
              </w:rPr>
            </w:pPr>
            <w:r w:rsidRPr="007D60B0">
              <w:rPr>
                <w:rFonts w:ascii="Candara" w:hAnsi="Candara" w:cs="Tahoma"/>
                <w:b/>
                <w:bCs/>
              </w:rPr>
              <w:t>2012</w:t>
            </w:r>
          </w:p>
        </w:tc>
        <w:tc>
          <w:tcPr>
            <w:tcW w:w="850" w:type="pct"/>
          </w:tcPr>
          <w:p w:rsidR="00BD2EAA" w:rsidRPr="007D60B0" w:rsidRDefault="00BD2EAA" w:rsidP="00BD2EAA">
            <w:pPr>
              <w:jc w:val="center"/>
              <w:rPr>
                <w:rFonts w:ascii="Candara" w:hAnsi="Candara" w:cs="Tahoma"/>
                <w:b/>
                <w:bCs/>
              </w:rPr>
            </w:pPr>
            <w:r w:rsidRPr="007D60B0">
              <w:rPr>
                <w:rFonts w:ascii="Candara" w:hAnsi="Candara" w:cs="Tahoma"/>
                <w:b/>
                <w:bCs/>
              </w:rPr>
              <w:t>VARIACIÓN 12/11</w:t>
            </w:r>
          </w:p>
          <w:p w:rsidR="00BD2EAA" w:rsidRPr="007D60B0" w:rsidRDefault="00BD2EAA" w:rsidP="00BD2EAA">
            <w:pPr>
              <w:jc w:val="center"/>
              <w:rPr>
                <w:rFonts w:ascii="Candara" w:hAnsi="Candara" w:cs="Tahoma"/>
                <w:b/>
                <w:bCs/>
              </w:rPr>
            </w:pPr>
            <w:r w:rsidRPr="007D60B0">
              <w:rPr>
                <w:rFonts w:ascii="Candara" w:hAnsi="Candara" w:cs="Tahoma"/>
                <w:b/>
                <w:bCs/>
              </w:rPr>
              <w:t>%</w:t>
            </w:r>
          </w:p>
        </w:tc>
        <w:tc>
          <w:tcPr>
            <w:tcW w:w="848" w:type="pct"/>
          </w:tcPr>
          <w:p w:rsidR="00BD2EAA" w:rsidRPr="007D60B0" w:rsidRDefault="00BD2EAA" w:rsidP="00BD2EAA">
            <w:pPr>
              <w:jc w:val="center"/>
              <w:rPr>
                <w:rFonts w:ascii="Candara" w:hAnsi="Candara" w:cs="Tahoma"/>
                <w:b/>
                <w:bCs/>
              </w:rPr>
            </w:pPr>
            <w:r w:rsidRPr="007D60B0">
              <w:rPr>
                <w:rFonts w:ascii="Candara" w:hAnsi="Candara" w:cs="Tahoma"/>
                <w:b/>
                <w:bCs/>
              </w:rPr>
              <w:t>CONSUMO TONELADAS POR HABITANTE</w:t>
            </w:r>
          </w:p>
        </w:tc>
      </w:tr>
      <w:tr w:rsidR="00BD2EAA" w:rsidRPr="007D60B0" w:rsidTr="00BD2EAA">
        <w:trPr>
          <w:trHeight w:val="20"/>
        </w:trPr>
        <w:tc>
          <w:tcPr>
            <w:tcW w:w="1563" w:type="pct"/>
            <w:noWrap/>
          </w:tcPr>
          <w:p w:rsidR="00BD2EAA" w:rsidRPr="007D60B0" w:rsidRDefault="00BD2EAA" w:rsidP="00BD2EAA">
            <w:pPr>
              <w:rPr>
                <w:rFonts w:ascii="Candara" w:hAnsi="Candara"/>
                <w:b/>
                <w:bCs/>
              </w:rPr>
            </w:pPr>
            <w:r w:rsidRPr="007D60B0">
              <w:rPr>
                <w:rFonts w:ascii="Candara" w:hAnsi="Candara"/>
                <w:b/>
              </w:rPr>
              <w:t>ANDALUCÍA</w:t>
            </w:r>
          </w:p>
        </w:tc>
        <w:tc>
          <w:tcPr>
            <w:tcW w:w="886" w:type="pct"/>
            <w:noWrap/>
          </w:tcPr>
          <w:p w:rsidR="00BD2EAA" w:rsidRPr="007D60B0" w:rsidRDefault="00BD2EAA" w:rsidP="00BD2EAA">
            <w:pPr>
              <w:jc w:val="right"/>
              <w:rPr>
                <w:rFonts w:ascii="Candara" w:hAnsi="Candara"/>
                <w:bCs/>
              </w:rPr>
            </w:pPr>
            <w:r w:rsidRPr="007D60B0">
              <w:rPr>
                <w:rFonts w:ascii="Candara" w:hAnsi="Candara"/>
                <w:bCs/>
              </w:rPr>
              <w:t>27,4</w:t>
            </w:r>
          </w:p>
        </w:tc>
        <w:tc>
          <w:tcPr>
            <w:tcW w:w="853" w:type="pct"/>
            <w:noWrap/>
          </w:tcPr>
          <w:p w:rsidR="00BD2EAA" w:rsidRPr="007D60B0" w:rsidRDefault="00BD2EAA" w:rsidP="00BD2EAA">
            <w:pPr>
              <w:jc w:val="right"/>
              <w:rPr>
                <w:rFonts w:ascii="Candara" w:hAnsi="Candara"/>
                <w:b/>
                <w:bCs/>
              </w:rPr>
            </w:pPr>
            <w:r w:rsidRPr="007D60B0">
              <w:rPr>
                <w:rFonts w:ascii="Candara" w:hAnsi="Candara"/>
                <w:b/>
                <w:bCs/>
              </w:rPr>
              <w:t>17,0</w:t>
            </w:r>
          </w:p>
        </w:tc>
        <w:tc>
          <w:tcPr>
            <w:tcW w:w="850" w:type="pct"/>
            <w:noWrap/>
          </w:tcPr>
          <w:p w:rsidR="00BD2EAA" w:rsidRPr="007D60B0" w:rsidRDefault="00BD2EAA" w:rsidP="00BD2EAA">
            <w:pPr>
              <w:jc w:val="right"/>
              <w:rPr>
                <w:rFonts w:ascii="Candara" w:hAnsi="Candara"/>
                <w:bCs/>
              </w:rPr>
            </w:pPr>
            <w:r w:rsidRPr="007D60B0">
              <w:rPr>
                <w:rFonts w:ascii="Candara" w:hAnsi="Candara"/>
              </w:rPr>
              <w:t>-37,8%</w:t>
            </w:r>
          </w:p>
        </w:tc>
        <w:tc>
          <w:tcPr>
            <w:tcW w:w="848" w:type="pct"/>
            <w:noWrap/>
          </w:tcPr>
          <w:p w:rsidR="00BD2EAA" w:rsidRPr="007D60B0" w:rsidRDefault="00BD2EAA" w:rsidP="00BD2EAA">
            <w:pPr>
              <w:jc w:val="right"/>
              <w:rPr>
                <w:rFonts w:ascii="Candara" w:hAnsi="Candara"/>
                <w:bCs/>
              </w:rPr>
            </w:pPr>
            <w:r w:rsidRPr="007D60B0">
              <w:rPr>
                <w:rFonts w:ascii="Candara" w:hAnsi="Candara"/>
                <w:bCs/>
              </w:rPr>
              <w:t>2,0</w:t>
            </w:r>
          </w:p>
        </w:tc>
      </w:tr>
      <w:tr w:rsidR="00BD2EAA" w:rsidRPr="007D60B0" w:rsidTr="00BD2EAA">
        <w:trPr>
          <w:trHeight w:val="20"/>
        </w:trPr>
        <w:tc>
          <w:tcPr>
            <w:tcW w:w="1563" w:type="pct"/>
            <w:noWrap/>
          </w:tcPr>
          <w:p w:rsidR="00BD2EAA" w:rsidRPr="007D60B0" w:rsidRDefault="00BD2EAA" w:rsidP="00BD2EAA">
            <w:pPr>
              <w:rPr>
                <w:rFonts w:ascii="Candara" w:hAnsi="Candara"/>
                <w:b/>
                <w:bCs/>
              </w:rPr>
            </w:pPr>
            <w:r w:rsidRPr="007D60B0">
              <w:rPr>
                <w:rFonts w:ascii="Candara" w:hAnsi="Candara"/>
                <w:b/>
              </w:rPr>
              <w:t>ARAGÓN</w:t>
            </w:r>
          </w:p>
        </w:tc>
        <w:tc>
          <w:tcPr>
            <w:tcW w:w="886" w:type="pct"/>
            <w:noWrap/>
          </w:tcPr>
          <w:p w:rsidR="00BD2EAA" w:rsidRPr="007D60B0" w:rsidRDefault="00BD2EAA" w:rsidP="00BD2EAA">
            <w:pPr>
              <w:jc w:val="right"/>
              <w:rPr>
                <w:rFonts w:ascii="Candara" w:hAnsi="Candara"/>
                <w:bCs/>
              </w:rPr>
            </w:pPr>
            <w:r w:rsidRPr="007D60B0">
              <w:rPr>
                <w:rFonts w:ascii="Candara" w:hAnsi="Candara"/>
                <w:bCs/>
              </w:rPr>
              <w:t>7,3</w:t>
            </w:r>
          </w:p>
        </w:tc>
        <w:tc>
          <w:tcPr>
            <w:tcW w:w="853" w:type="pct"/>
            <w:noWrap/>
          </w:tcPr>
          <w:p w:rsidR="00BD2EAA" w:rsidRPr="007D60B0" w:rsidRDefault="00BD2EAA" w:rsidP="00BD2EAA">
            <w:pPr>
              <w:jc w:val="right"/>
              <w:rPr>
                <w:rFonts w:ascii="Candara" w:hAnsi="Candara"/>
                <w:b/>
                <w:bCs/>
              </w:rPr>
            </w:pPr>
            <w:r w:rsidRPr="007D60B0">
              <w:rPr>
                <w:rFonts w:ascii="Candara" w:hAnsi="Candara"/>
                <w:b/>
                <w:bCs/>
              </w:rPr>
              <w:t>4,6</w:t>
            </w:r>
          </w:p>
        </w:tc>
        <w:tc>
          <w:tcPr>
            <w:tcW w:w="850" w:type="pct"/>
            <w:noWrap/>
          </w:tcPr>
          <w:p w:rsidR="00BD2EAA" w:rsidRPr="007D60B0" w:rsidRDefault="00BD2EAA" w:rsidP="00BD2EAA">
            <w:pPr>
              <w:jc w:val="right"/>
              <w:rPr>
                <w:rFonts w:ascii="Candara" w:hAnsi="Candara"/>
                <w:bCs/>
              </w:rPr>
            </w:pPr>
            <w:r w:rsidRPr="007D60B0">
              <w:rPr>
                <w:rFonts w:ascii="Candara" w:hAnsi="Candara"/>
              </w:rPr>
              <w:t>-37,1%</w:t>
            </w:r>
          </w:p>
        </w:tc>
        <w:tc>
          <w:tcPr>
            <w:tcW w:w="848" w:type="pct"/>
            <w:noWrap/>
          </w:tcPr>
          <w:p w:rsidR="00BD2EAA" w:rsidRPr="007D60B0" w:rsidRDefault="00BD2EAA" w:rsidP="00BD2EAA">
            <w:pPr>
              <w:jc w:val="right"/>
              <w:rPr>
                <w:rFonts w:ascii="Candara" w:hAnsi="Candara"/>
                <w:bCs/>
              </w:rPr>
            </w:pPr>
            <w:r w:rsidRPr="007D60B0">
              <w:rPr>
                <w:rFonts w:ascii="Candara" w:hAnsi="Candara"/>
                <w:bCs/>
              </w:rPr>
              <w:t>3,4</w:t>
            </w:r>
          </w:p>
        </w:tc>
      </w:tr>
      <w:tr w:rsidR="00BD2EAA" w:rsidRPr="007D60B0" w:rsidTr="00BD2EAA">
        <w:trPr>
          <w:trHeight w:val="20"/>
        </w:trPr>
        <w:tc>
          <w:tcPr>
            <w:tcW w:w="1563" w:type="pct"/>
            <w:noWrap/>
          </w:tcPr>
          <w:p w:rsidR="00BD2EAA" w:rsidRPr="007D60B0" w:rsidRDefault="00BD2EAA" w:rsidP="00BD2EAA">
            <w:pPr>
              <w:rPr>
                <w:rFonts w:ascii="Candara" w:hAnsi="Candara"/>
                <w:b/>
                <w:bCs/>
              </w:rPr>
            </w:pPr>
            <w:r w:rsidRPr="007D60B0">
              <w:rPr>
                <w:rFonts w:ascii="Candara" w:hAnsi="Candara"/>
                <w:b/>
              </w:rPr>
              <w:t>ASTURIAS</w:t>
            </w:r>
          </w:p>
        </w:tc>
        <w:tc>
          <w:tcPr>
            <w:tcW w:w="886" w:type="pct"/>
            <w:noWrap/>
          </w:tcPr>
          <w:p w:rsidR="00BD2EAA" w:rsidRPr="007D60B0" w:rsidRDefault="00BD2EAA" w:rsidP="00BD2EAA">
            <w:pPr>
              <w:jc w:val="right"/>
              <w:rPr>
                <w:rFonts w:ascii="Candara" w:hAnsi="Candara"/>
                <w:bCs/>
              </w:rPr>
            </w:pPr>
            <w:r w:rsidRPr="007D60B0">
              <w:rPr>
                <w:rFonts w:ascii="Candara" w:hAnsi="Candara"/>
                <w:bCs/>
              </w:rPr>
              <w:t>5,6</w:t>
            </w:r>
          </w:p>
        </w:tc>
        <w:tc>
          <w:tcPr>
            <w:tcW w:w="853" w:type="pct"/>
            <w:noWrap/>
          </w:tcPr>
          <w:p w:rsidR="00BD2EAA" w:rsidRPr="007D60B0" w:rsidRDefault="00BD2EAA" w:rsidP="00BD2EAA">
            <w:pPr>
              <w:jc w:val="right"/>
              <w:rPr>
                <w:rFonts w:ascii="Candara" w:hAnsi="Candara"/>
                <w:b/>
                <w:bCs/>
              </w:rPr>
            </w:pPr>
            <w:r w:rsidRPr="007D60B0">
              <w:rPr>
                <w:rFonts w:ascii="Candara" w:hAnsi="Candara"/>
                <w:b/>
                <w:bCs/>
              </w:rPr>
              <w:t>4,1</w:t>
            </w:r>
          </w:p>
        </w:tc>
        <w:tc>
          <w:tcPr>
            <w:tcW w:w="850" w:type="pct"/>
            <w:noWrap/>
          </w:tcPr>
          <w:p w:rsidR="00BD2EAA" w:rsidRPr="007D60B0" w:rsidRDefault="00BD2EAA" w:rsidP="00BD2EAA">
            <w:pPr>
              <w:jc w:val="right"/>
              <w:rPr>
                <w:rFonts w:ascii="Candara" w:hAnsi="Candara"/>
                <w:bCs/>
              </w:rPr>
            </w:pPr>
            <w:r w:rsidRPr="007D60B0">
              <w:rPr>
                <w:rFonts w:ascii="Candara" w:hAnsi="Candara"/>
              </w:rPr>
              <w:t>-27,4%</w:t>
            </w:r>
          </w:p>
        </w:tc>
        <w:tc>
          <w:tcPr>
            <w:tcW w:w="848" w:type="pct"/>
            <w:noWrap/>
          </w:tcPr>
          <w:p w:rsidR="00BD2EAA" w:rsidRPr="007D60B0" w:rsidRDefault="00BD2EAA" w:rsidP="00BD2EAA">
            <w:pPr>
              <w:jc w:val="right"/>
              <w:rPr>
                <w:rFonts w:ascii="Candara" w:hAnsi="Candara"/>
                <w:bCs/>
              </w:rPr>
            </w:pPr>
            <w:r w:rsidRPr="007D60B0">
              <w:rPr>
                <w:rFonts w:ascii="Candara" w:hAnsi="Candara"/>
                <w:bCs/>
              </w:rPr>
              <w:t>3,8</w:t>
            </w:r>
          </w:p>
        </w:tc>
      </w:tr>
      <w:tr w:rsidR="00BD2EAA" w:rsidRPr="007D60B0" w:rsidTr="00BD2EAA">
        <w:trPr>
          <w:trHeight w:val="20"/>
        </w:trPr>
        <w:tc>
          <w:tcPr>
            <w:tcW w:w="1563" w:type="pct"/>
            <w:noWrap/>
          </w:tcPr>
          <w:p w:rsidR="00BD2EAA" w:rsidRPr="007D60B0" w:rsidRDefault="00BD2EAA" w:rsidP="00BD2EAA">
            <w:pPr>
              <w:rPr>
                <w:rFonts w:ascii="Candara" w:hAnsi="Candara"/>
                <w:b/>
                <w:bCs/>
              </w:rPr>
            </w:pPr>
            <w:r w:rsidRPr="007D60B0">
              <w:rPr>
                <w:rFonts w:ascii="Candara" w:hAnsi="Candara"/>
                <w:b/>
              </w:rPr>
              <w:t>ISLAS BALEARES</w:t>
            </w:r>
          </w:p>
        </w:tc>
        <w:tc>
          <w:tcPr>
            <w:tcW w:w="886" w:type="pct"/>
            <w:noWrap/>
          </w:tcPr>
          <w:p w:rsidR="00BD2EAA" w:rsidRPr="007D60B0" w:rsidRDefault="00BD2EAA" w:rsidP="00BD2EAA">
            <w:pPr>
              <w:jc w:val="right"/>
              <w:rPr>
                <w:rFonts w:ascii="Candara" w:hAnsi="Candara"/>
                <w:bCs/>
              </w:rPr>
            </w:pPr>
            <w:r w:rsidRPr="007D60B0">
              <w:rPr>
                <w:rFonts w:ascii="Candara" w:hAnsi="Candara"/>
                <w:bCs/>
              </w:rPr>
              <w:t>3,0</w:t>
            </w:r>
          </w:p>
        </w:tc>
        <w:tc>
          <w:tcPr>
            <w:tcW w:w="853" w:type="pct"/>
            <w:noWrap/>
          </w:tcPr>
          <w:p w:rsidR="00BD2EAA" w:rsidRPr="007D60B0" w:rsidRDefault="00BD2EAA" w:rsidP="00BD2EAA">
            <w:pPr>
              <w:jc w:val="right"/>
              <w:rPr>
                <w:rFonts w:ascii="Candara" w:hAnsi="Candara"/>
                <w:b/>
                <w:bCs/>
              </w:rPr>
            </w:pPr>
            <w:r w:rsidRPr="007D60B0">
              <w:rPr>
                <w:rFonts w:ascii="Candara" w:hAnsi="Candara"/>
                <w:b/>
                <w:bCs/>
              </w:rPr>
              <w:t>2,4</w:t>
            </w:r>
          </w:p>
        </w:tc>
        <w:tc>
          <w:tcPr>
            <w:tcW w:w="850" w:type="pct"/>
            <w:noWrap/>
          </w:tcPr>
          <w:p w:rsidR="00BD2EAA" w:rsidRPr="007D60B0" w:rsidRDefault="00BD2EAA" w:rsidP="00BD2EAA">
            <w:pPr>
              <w:jc w:val="right"/>
              <w:rPr>
                <w:rFonts w:ascii="Candara" w:hAnsi="Candara"/>
                <w:bCs/>
              </w:rPr>
            </w:pPr>
            <w:r w:rsidRPr="007D60B0">
              <w:rPr>
                <w:rFonts w:ascii="Candara" w:hAnsi="Candara"/>
              </w:rPr>
              <w:t>-20,9%</w:t>
            </w:r>
          </w:p>
        </w:tc>
        <w:tc>
          <w:tcPr>
            <w:tcW w:w="848" w:type="pct"/>
            <w:noWrap/>
          </w:tcPr>
          <w:p w:rsidR="00BD2EAA" w:rsidRPr="007D60B0" w:rsidRDefault="00BD2EAA" w:rsidP="00BD2EAA">
            <w:pPr>
              <w:jc w:val="right"/>
              <w:rPr>
                <w:rFonts w:ascii="Candara" w:hAnsi="Candara"/>
                <w:bCs/>
              </w:rPr>
            </w:pPr>
            <w:r w:rsidRPr="007D60B0">
              <w:rPr>
                <w:rFonts w:ascii="Candara" w:hAnsi="Candara"/>
                <w:bCs/>
              </w:rPr>
              <w:t>2,2</w:t>
            </w:r>
          </w:p>
        </w:tc>
      </w:tr>
      <w:tr w:rsidR="00BD2EAA" w:rsidRPr="007D60B0" w:rsidTr="00BD2EAA">
        <w:trPr>
          <w:trHeight w:val="20"/>
        </w:trPr>
        <w:tc>
          <w:tcPr>
            <w:tcW w:w="1563" w:type="pct"/>
            <w:noWrap/>
          </w:tcPr>
          <w:p w:rsidR="00BD2EAA" w:rsidRPr="007D60B0" w:rsidRDefault="00BD2EAA" w:rsidP="00BD2EAA">
            <w:pPr>
              <w:rPr>
                <w:rFonts w:ascii="Candara" w:hAnsi="Candara"/>
                <w:b/>
                <w:bCs/>
              </w:rPr>
            </w:pPr>
            <w:r w:rsidRPr="007D60B0">
              <w:rPr>
                <w:rFonts w:ascii="Candara" w:hAnsi="Candara"/>
                <w:b/>
              </w:rPr>
              <w:t>CANARIAS</w:t>
            </w:r>
          </w:p>
        </w:tc>
        <w:tc>
          <w:tcPr>
            <w:tcW w:w="886" w:type="pct"/>
            <w:noWrap/>
          </w:tcPr>
          <w:p w:rsidR="00BD2EAA" w:rsidRPr="007D60B0" w:rsidRDefault="00BD2EAA" w:rsidP="00BD2EAA">
            <w:pPr>
              <w:jc w:val="right"/>
              <w:rPr>
                <w:rFonts w:ascii="Candara" w:hAnsi="Candara"/>
                <w:bCs/>
              </w:rPr>
            </w:pPr>
            <w:r w:rsidRPr="007D60B0">
              <w:rPr>
                <w:rFonts w:ascii="Candara" w:hAnsi="Candara"/>
                <w:bCs/>
              </w:rPr>
              <w:t>4,9</w:t>
            </w:r>
          </w:p>
        </w:tc>
        <w:tc>
          <w:tcPr>
            <w:tcW w:w="853" w:type="pct"/>
            <w:noWrap/>
          </w:tcPr>
          <w:p w:rsidR="00BD2EAA" w:rsidRPr="007D60B0" w:rsidRDefault="00BD2EAA" w:rsidP="00BD2EAA">
            <w:pPr>
              <w:jc w:val="right"/>
              <w:rPr>
                <w:rFonts w:ascii="Candara" w:hAnsi="Candara"/>
                <w:b/>
                <w:bCs/>
              </w:rPr>
            </w:pPr>
            <w:r w:rsidRPr="007D60B0">
              <w:rPr>
                <w:rFonts w:ascii="Candara" w:hAnsi="Candara"/>
                <w:b/>
                <w:bCs/>
              </w:rPr>
              <w:t>2,9</w:t>
            </w:r>
          </w:p>
        </w:tc>
        <w:tc>
          <w:tcPr>
            <w:tcW w:w="850" w:type="pct"/>
            <w:noWrap/>
          </w:tcPr>
          <w:p w:rsidR="00BD2EAA" w:rsidRPr="007D60B0" w:rsidRDefault="00BD2EAA" w:rsidP="00BD2EAA">
            <w:pPr>
              <w:jc w:val="right"/>
              <w:rPr>
                <w:rFonts w:ascii="Candara" w:hAnsi="Candara"/>
                <w:bCs/>
              </w:rPr>
            </w:pPr>
            <w:r w:rsidRPr="007D60B0">
              <w:rPr>
                <w:rFonts w:ascii="Candara" w:hAnsi="Candara"/>
              </w:rPr>
              <w:t>-40,2%</w:t>
            </w:r>
          </w:p>
        </w:tc>
        <w:tc>
          <w:tcPr>
            <w:tcW w:w="848" w:type="pct"/>
            <w:noWrap/>
          </w:tcPr>
          <w:p w:rsidR="00BD2EAA" w:rsidRPr="007D60B0" w:rsidRDefault="00BD2EAA" w:rsidP="00BD2EAA">
            <w:pPr>
              <w:jc w:val="right"/>
              <w:rPr>
                <w:rFonts w:ascii="Candara" w:hAnsi="Candara"/>
                <w:bCs/>
              </w:rPr>
            </w:pPr>
            <w:r w:rsidRPr="007D60B0">
              <w:rPr>
                <w:rFonts w:ascii="Candara" w:hAnsi="Candara"/>
                <w:bCs/>
              </w:rPr>
              <w:t>1,4</w:t>
            </w:r>
          </w:p>
        </w:tc>
      </w:tr>
      <w:tr w:rsidR="00BD2EAA" w:rsidRPr="007D60B0" w:rsidTr="00BD2EAA">
        <w:trPr>
          <w:trHeight w:val="20"/>
        </w:trPr>
        <w:tc>
          <w:tcPr>
            <w:tcW w:w="1563" w:type="pct"/>
            <w:noWrap/>
          </w:tcPr>
          <w:p w:rsidR="00BD2EAA" w:rsidRPr="007D60B0" w:rsidRDefault="00BD2EAA" w:rsidP="00BD2EAA">
            <w:pPr>
              <w:rPr>
                <w:rFonts w:ascii="Candara" w:hAnsi="Candara"/>
                <w:b/>
                <w:bCs/>
              </w:rPr>
            </w:pPr>
            <w:r w:rsidRPr="007D60B0">
              <w:rPr>
                <w:rFonts w:ascii="Candara" w:hAnsi="Candara"/>
                <w:b/>
              </w:rPr>
              <w:t>CANTABRIA</w:t>
            </w:r>
          </w:p>
        </w:tc>
        <w:tc>
          <w:tcPr>
            <w:tcW w:w="886" w:type="pct"/>
            <w:noWrap/>
          </w:tcPr>
          <w:p w:rsidR="00BD2EAA" w:rsidRPr="007D60B0" w:rsidRDefault="00BD2EAA" w:rsidP="00BD2EAA">
            <w:pPr>
              <w:jc w:val="right"/>
              <w:rPr>
                <w:rFonts w:ascii="Candara" w:hAnsi="Candara"/>
                <w:bCs/>
              </w:rPr>
            </w:pPr>
            <w:r w:rsidRPr="007D60B0">
              <w:rPr>
                <w:rFonts w:ascii="Candara" w:hAnsi="Candara"/>
                <w:bCs/>
              </w:rPr>
              <w:t>4,2</w:t>
            </w:r>
          </w:p>
        </w:tc>
        <w:tc>
          <w:tcPr>
            <w:tcW w:w="853" w:type="pct"/>
            <w:noWrap/>
          </w:tcPr>
          <w:p w:rsidR="00BD2EAA" w:rsidRPr="007D60B0" w:rsidRDefault="00BD2EAA" w:rsidP="00BD2EAA">
            <w:pPr>
              <w:jc w:val="right"/>
              <w:rPr>
                <w:rFonts w:ascii="Candara" w:hAnsi="Candara"/>
                <w:b/>
                <w:bCs/>
              </w:rPr>
            </w:pPr>
            <w:r w:rsidRPr="007D60B0">
              <w:rPr>
                <w:rFonts w:ascii="Candara" w:hAnsi="Candara"/>
                <w:b/>
                <w:bCs/>
              </w:rPr>
              <w:t>3,1</w:t>
            </w:r>
          </w:p>
        </w:tc>
        <w:tc>
          <w:tcPr>
            <w:tcW w:w="850" w:type="pct"/>
            <w:noWrap/>
          </w:tcPr>
          <w:p w:rsidR="00BD2EAA" w:rsidRPr="007D60B0" w:rsidRDefault="00BD2EAA" w:rsidP="00BD2EAA">
            <w:pPr>
              <w:jc w:val="right"/>
              <w:rPr>
                <w:rFonts w:ascii="Candara" w:hAnsi="Candara"/>
                <w:bCs/>
              </w:rPr>
            </w:pPr>
            <w:r w:rsidRPr="007D60B0">
              <w:rPr>
                <w:rFonts w:ascii="Candara" w:hAnsi="Candara"/>
              </w:rPr>
              <w:t>-26,3%</w:t>
            </w:r>
          </w:p>
        </w:tc>
        <w:tc>
          <w:tcPr>
            <w:tcW w:w="848" w:type="pct"/>
            <w:noWrap/>
          </w:tcPr>
          <w:p w:rsidR="00BD2EAA" w:rsidRPr="007D60B0" w:rsidRDefault="00BD2EAA" w:rsidP="00BD2EAA">
            <w:pPr>
              <w:jc w:val="right"/>
              <w:rPr>
                <w:rFonts w:ascii="Candara" w:hAnsi="Candara"/>
                <w:bCs/>
              </w:rPr>
            </w:pPr>
            <w:r w:rsidRPr="007D60B0">
              <w:rPr>
                <w:rFonts w:ascii="Candara" w:hAnsi="Candara"/>
                <w:bCs/>
              </w:rPr>
              <w:t>5,2</w:t>
            </w:r>
          </w:p>
        </w:tc>
      </w:tr>
      <w:tr w:rsidR="00BD2EAA" w:rsidRPr="007D60B0" w:rsidTr="00BD2EAA">
        <w:trPr>
          <w:trHeight w:val="20"/>
        </w:trPr>
        <w:tc>
          <w:tcPr>
            <w:tcW w:w="1563" w:type="pct"/>
            <w:noWrap/>
          </w:tcPr>
          <w:p w:rsidR="00BD2EAA" w:rsidRPr="007D60B0" w:rsidRDefault="00BD2EAA" w:rsidP="00BD2EAA">
            <w:pPr>
              <w:rPr>
                <w:rFonts w:ascii="Candara" w:hAnsi="Candara"/>
                <w:b/>
                <w:bCs/>
              </w:rPr>
            </w:pPr>
            <w:r w:rsidRPr="007D60B0">
              <w:rPr>
                <w:rFonts w:ascii="Candara" w:hAnsi="Candara"/>
                <w:b/>
              </w:rPr>
              <w:t>CASTILLA Y LEÓN</w:t>
            </w:r>
          </w:p>
        </w:tc>
        <w:tc>
          <w:tcPr>
            <w:tcW w:w="886" w:type="pct"/>
            <w:noWrap/>
          </w:tcPr>
          <w:p w:rsidR="00BD2EAA" w:rsidRPr="007D60B0" w:rsidRDefault="00BD2EAA" w:rsidP="00BD2EAA">
            <w:pPr>
              <w:jc w:val="right"/>
              <w:rPr>
                <w:rFonts w:ascii="Candara" w:hAnsi="Candara"/>
                <w:bCs/>
              </w:rPr>
            </w:pPr>
            <w:r w:rsidRPr="007D60B0">
              <w:rPr>
                <w:rFonts w:ascii="Candara" w:hAnsi="Candara"/>
                <w:bCs/>
              </w:rPr>
              <w:t>17,9</w:t>
            </w:r>
          </w:p>
        </w:tc>
        <w:tc>
          <w:tcPr>
            <w:tcW w:w="853" w:type="pct"/>
            <w:noWrap/>
          </w:tcPr>
          <w:p w:rsidR="00BD2EAA" w:rsidRPr="007D60B0" w:rsidRDefault="00BD2EAA" w:rsidP="00BD2EAA">
            <w:pPr>
              <w:jc w:val="right"/>
              <w:rPr>
                <w:rFonts w:ascii="Candara" w:hAnsi="Candara"/>
                <w:b/>
                <w:bCs/>
              </w:rPr>
            </w:pPr>
            <w:r w:rsidRPr="007D60B0">
              <w:rPr>
                <w:rFonts w:ascii="Candara" w:hAnsi="Candara"/>
                <w:b/>
                <w:bCs/>
              </w:rPr>
              <w:t>12,1</w:t>
            </w:r>
          </w:p>
        </w:tc>
        <w:tc>
          <w:tcPr>
            <w:tcW w:w="850" w:type="pct"/>
            <w:noWrap/>
          </w:tcPr>
          <w:p w:rsidR="00BD2EAA" w:rsidRPr="007D60B0" w:rsidRDefault="00BD2EAA" w:rsidP="00BD2EAA">
            <w:pPr>
              <w:jc w:val="right"/>
              <w:rPr>
                <w:rFonts w:ascii="Candara" w:hAnsi="Candara"/>
                <w:bCs/>
              </w:rPr>
            </w:pPr>
            <w:r w:rsidRPr="007D60B0">
              <w:rPr>
                <w:rFonts w:ascii="Candara" w:hAnsi="Candara"/>
              </w:rPr>
              <w:t>-32,4%</w:t>
            </w:r>
          </w:p>
        </w:tc>
        <w:tc>
          <w:tcPr>
            <w:tcW w:w="848" w:type="pct"/>
            <w:noWrap/>
          </w:tcPr>
          <w:p w:rsidR="00BD2EAA" w:rsidRPr="007D60B0" w:rsidRDefault="00BD2EAA" w:rsidP="00BD2EAA">
            <w:pPr>
              <w:jc w:val="right"/>
              <w:rPr>
                <w:rFonts w:ascii="Candara" w:hAnsi="Candara"/>
                <w:bCs/>
              </w:rPr>
            </w:pPr>
            <w:r w:rsidRPr="007D60B0">
              <w:rPr>
                <w:rFonts w:ascii="Candara" w:hAnsi="Candara"/>
                <w:bCs/>
              </w:rPr>
              <w:t>4,7</w:t>
            </w:r>
          </w:p>
        </w:tc>
      </w:tr>
      <w:tr w:rsidR="00BD2EAA" w:rsidRPr="007D60B0" w:rsidTr="00BD2EAA">
        <w:trPr>
          <w:trHeight w:val="20"/>
        </w:trPr>
        <w:tc>
          <w:tcPr>
            <w:tcW w:w="1563" w:type="pct"/>
            <w:noWrap/>
          </w:tcPr>
          <w:p w:rsidR="00BD2EAA" w:rsidRPr="007D60B0" w:rsidRDefault="00BD2EAA" w:rsidP="00BD2EAA">
            <w:pPr>
              <w:rPr>
                <w:rFonts w:ascii="Candara" w:hAnsi="Candara"/>
                <w:b/>
                <w:bCs/>
              </w:rPr>
            </w:pPr>
            <w:r w:rsidRPr="007D60B0">
              <w:rPr>
                <w:rFonts w:ascii="Candara" w:hAnsi="Candara"/>
                <w:b/>
              </w:rPr>
              <w:t>CASTILLA - LA MANCHA</w:t>
            </w:r>
          </w:p>
        </w:tc>
        <w:tc>
          <w:tcPr>
            <w:tcW w:w="886" w:type="pct"/>
            <w:noWrap/>
          </w:tcPr>
          <w:p w:rsidR="00BD2EAA" w:rsidRPr="007D60B0" w:rsidRDefault="00BD2EAA" w:rsidP="00BD2EAA">
            <w:pPr>
              <w:jc w:val="right"/>
              <w:rPr>
                <w:rFonts w:ascii="Candara" w:hAnsi="Candara"/>
                <w:bCs/>
              </w:rPr>
            </w:pPr>
            <w:r w:rsidRPr="007D60B0">
              <w:rPr>
                <w:rFonts w:ascii="Candara" w:hAnsi="Candara"/>
                <w:bCs/>
              </w:rPr>
              <w:t>11,8</w:t>
            </w:r>
          </w:p>
        </w:tc>
        <w:tc>
          <w:tcPr>
            <w:tcW w:w="853" w:type="pct"/>
            <w:noWrap/>
          </w:tcPr>
          <w:p w:rsidR="00BD2EAA" w:rsidRPr="007D60B0" w:rsidRDefault="00BD2EAA" w:rsidP="00BD2EAA">
            <w:pPr>
              <w:jc w:val="right"/>
              <w:rPr>
                <w:rFonts w:ascii="Candara" w:hAnsi="Candara"/>
                <w:b/>
                <w:bCs/>
              </w:rPr>
            </w:pPr>
            <w:r w:rsidRPr="007D60B0">
              <w:rPr>
                <w:rFonts w:ascii="Candara" w:hAnsi="Candara"/>
                <w:b/>
                <w:bCs/>
              </w:rPr>
              <w:t>6,8</w:t>
            </w:r>
          </w:p>
        </w:tc>
        <w:tc>
          <w:tcPr>
            <w:tcW w:w="850" w:type="pct"/>
            <w:noWrap/>
          </w:tcPr>
          <w:p w:rsidR="00BD2EAA" w:rsidRPr="007D60B0" w:rsidRDefault="00BD2EAA" w:rsidP="00BD2EAA">
            <w:pPr>
              <w:jc w:val="right"/>
              <w:rPr>
                <w:rFonts w:ascii="Candara" w:hAnsi="Candara"/>
                <w:bCs/>
              </w:rPr>
            </w:pPr>
            <w:r w:rsidRPr="007D60B0">
              <w:rPr>
                <w:rFonts w:ascii="Candara" w:hAnsi="Candara"/>
              </w:rPr>
              <w:t>-42,6%</w:t>
            </w:r>
          </w:p>
        </w:tc>
        <w:tc>
          <w:tcPr>
            <w:tcW w:w="848" w:type="pct"/>
            <w:noWrap/>
          </w:tcPr>
          <w:p w:rsidR="00BD2EAA" w:rsidRPr="007D60B0" w:rsidRDefault="00BD2EAA" w:rsidP="00BD2EAA">
            <w:pPr>
              <w:jc w:val="right"/>
              <w:rPr>
                <w:rFonts w:ascii="Candara" w:hAnsi="Candara"/>
                <w:bCs/>
              </w:rPr>
            </w:pPr>
            <w:r w:rsidRPr="007D60B0">
              <w:rPr>
                <w:rFonts w:ascii="Candara" w:hAnsi="Candara"/>
                <w:bCs/>
              </w:rPr>
              <w:t>3,2</w:t>
            </w:r>
          </w:p>
        </w:tc>
      </w:tr>
      <w:tr w:rsidR="00BD2EAA" w:rsidRPr="007D60B0" w:rsidTr="00BD2EAA">
        <w:trPr>
          <w:trHeight w:val="20"/>
        </w:trPr>
        <w:tc>
          <w:tcPr>
            <w:tcW w:w="1563" w:type="pct"/>
            <w:noWrap/>
          </w:tcPr>
          <w:p w:rsidR="00BD2EAA" w:rsidRPr="007D60B0" w:rsidRDefault="00BD2EAA" w:rsidP="00BD2EAA">
            <w:pPr>
              <w:rPr>
                <w:rFonts w:ascii="Candara" w:hAnsi="Candara"/>
                <w:b/>
                <w:bCs/>
              </w:rPr>
            </w:pPr>
            <w:r w:rsidRPr="007D60B0">
              <w:rPr>
                <w:rFonts w:ascii="Candara" w:hAnsi="Candara"/>
                <w:b/>
              </w:rPr>
              <w:t>CATALUÑA</w:t>
            </w:r>
          </w:p>
        </w:tc>
        <w:tc>
          <w:tcPr>
            <w:tcW w:w="886" w:type="pct"/>
            <w:noWrap/>
          </w:tcPr>
          <w:p w:rsidR="00BD2EAA" w:rsidRPr="007D60B0" w:rsidRDefault="00BD2EAA" w:rsidP="00BD2EAA">
            <w:pPr>
              <w:jc w:val="right"/>
              <w:rPr>
                <w:rFonts w:ascii="Candara" w:hAnsi="Candara"/>
                <w:bCs/>
              </w:rPr>
            </w:pPr>
            <w:r w:rsidRPr="007D60B0">
              <w:rPr>
                <w:rFonts w:ascii="Candara" w:hAnsi="Candara"/>
                <w:bCs/>
              </w:rPr>
              <w:t>26,3</w:t>
            </w:r>
          </w:p>
        </w:tc>
        <w:tc>
          <w:tcPr>
            <w:tcW w:w="853" w:type="pct"/>
            <w:noWrap/>
          </w:tcPr>
          <w:p w:rsidR="00BD2EAA" w:rsidRPr="007D60B0" w:rsidRDefault="00BD2EAA" w:rsidP="00BD2EAA">
            <w:pPr>
              <w:jc w:val="right"/>
              <w:rPr>
                <w:rFonts w:ascii="Candara" w:hAnsi="Candara"/>
                <w:b/>
                <w:bCs/>
              </w:rPr>
            </w:pPr>
            <w:r w:rsidRPr="007D60B0">
              <w:rPr>
                <w:rFonts w:ascii="Candara" w:hAnsi="Candara"/>
                <w:b/>
                <w:bCs/>
              </w:rPr>
              <w:t>19,7</w:t>
            </w:r>
          </w:p>
        </w:tc>
        <w:tc>
          <w:tcPr>
            <w:tcW w:w="850" w:type="pct"/>
            <w:noWrap/>
          </w:tcPr>
          <w:p w:rsidR="00BD2EAA" w:rsidRPr="007D60B0" w:rsidRDefault="00BD2EAA" w:rsidP="00BD2EAA">
            <w:pPr>
              <w:jc w:val="right"/>
              <w:rPr>
                <w:rFonts w:ascii="Candara" w:hAnsi="Candara"/>
                <w:bCs/>
              </w:rPr>
            </w:pPr>
            <w:r w:rsidRPr="007D60B0">
              <w:rPr>
                <w:rFonts w:ascii="Candara" w:hAnsi="Candara"/>
              </w:rPr>
              <w:t>-25,2%</w:t>
            </w:r>
          </w:p>
        </w:tc>
        <w:tc>
          <w:tcPr>
            <w:tcW w:w="848" w:type="pct"/>
            <w:noWrap/>
          </w:tcPr>
          <w:p w:rsidR="00BD2EAA" w:rsidRPr="007D60B0" w:rsidRDefault="00BD2EAA" w:rsidP="00BD2EAA">
            <w:pPr>
              <w:jc w:val="right"/>
              <w:rPr>
                <w:rFonts w:ascii="Candara" w:hAnsi="Candara"/>
                <w:bCs/>
              </w:rPr>
            </w:pPr>
            <w:r w:rsidRPr="007D60B0">
              <w:rPr>
                <w:rFonts w:ascii="Candara" w:hAnsi="Candara"/>
                <w:bCs/>
              </w:rPr>
              <w:t>2,6</w:t>
            </w:r>
          </w:p>
        </w:tc>
      </w:tr>
      <w:tr w:rsidR="00BD2EAA" w:rsidRPr="007D60B0" w:rsidTr="00BD2EAA">
        <w:trPr>
          <w:trHeight w:val="20"/>
        </w:trPr>
        <w:tc>
          <w:tcPr>
            <w:tcW w:w="1563" w:type="pct"/>
            <w:noWrap/>
          </w:tcPr>
          <w:p w:rsidR="00BD2EAA" w:rsidRPr="007D60B0" w:rsidRDefault="00BD2EAA" w:rsidP="00BD2EAA">
            <w:pPr>
              <w:rPr>
                <w:rFonts w:ascii="Candara" w:hAnsi="Candara"/>
                <w:b/>
                <w:bCs/>
              </w:rPr>
            </w:pPr>
            <w:r w:rsidRPr="007D60B0">
              <w:rPr>
                <w:rFonts w:ascii="Candara" w:hAnsi="Candara"/>
                <w:b/>
              </w:rPr>
              <w:t>C. VALENCIANA</w:t>
            </w:r>
          </w:p>
        </w:tc>
        <w:tc>
          <w:tcPr>
            <w:tcW w:w="886" w:type="pct"/>
            <w:noWrap/>
          </w:tcPr>
          <w:p w:rsidR="00BD2EAA" w:rsidRPr="007D60B0" w:rsidRDefault="00BD2EAA" w:rsidP="00BD2EAA">
            <w:pPr>
              <w:jc w:val="right"/>
              <w:rPr>
                <w:rFonts w:ascii="Candara" w:hAnsi="Candara"/>
                <w:bCs/>
              </w:rPr>
            </w:pPr>
            <w:r w:rsidRPr="007D60B0">
              <w:rPr>
                <w:rFonts w:ascii="Candara" w:hAnsi="Candara"/>
                <w:bCs/>
              </w:rPr>
              <w:t>15,5</w:t>
            </w:r>
          </w:p>
        </w:tc>
        <w:tc>
          <w:tcPr>
            <w:tcW w:w="853" w:type="pct"/>
            <w:noWrap/>
          </w:tcPr>
          <w:p w:rsidR="00BD2EAA" w:rsidRPr="007D60B0" w:rsidRDefault="00BD2EAA" w:rsidP="00BD2EAA">
            <w:pPr>
              <w:jc w:val="right"/>
              <w:rPr>
                <w:rFonts w:ascii="Candara" w:hAnsi="Candara"/>
                <w:b/>
                <w:bCs/>
              </w:rPr>
            </w:pPr>
            <w:r w:rsidRPr="007D60B0">
              <w:rPr>
                <w:rFonts w:ascii="Candara" w:hAnsi="Candara"/>
                <w:b/>
                <w:bCs/>
              </w:rPr>
              <w:t>6,5</w:t>
            </w:r>
          </w:p>
        </w:tc>
        <w:tc>
          <w:tcPr>
            <w:tcW w:w="850" w:type="pct"/>
            <w:noWrap/>
          </w:tcPr>
          <w:p w:rsidR="00BD2EAA" w:rsidRPr="007D60B0" w:rsidRDefault="00BD2EAA" w:rsidP="00BD2EAA">
            <w:pPr>
              <w:jc w:val="right"/>
              <w:rPr>
                <w:rFonts w:ascii="Candara" w:hAnsi="Candara"/>
                <w:bCs/>
              </w:rPr>
            </w:pPr>
            <w:r w:rsidRPr="007D60B0">
              <w:rPr>
                <w:rFonts w:ascii="Candara" w:hAnsi="Candara"/>
              </w:rPr>
              <w:t>-58,2%</w:t>
            </w:r>
          </w:p>
        </w:tc>
        <w:tc>
          <w:tcPr>
            <w:tcW w:w="848" w:type="pct"/>
            <w:noWrap/>
          </w:tcPr>
          <w:p w:rsidR="00BD2EAA" w:rsidRPr="007D60B0" w:rsidRDefault="00BD2EAA" w:rsidP="00BD2EAA">
            <w:pPr>
              <w:jc w:val="right"/>
              <w:rPr>
                <w:rFonts w:ascii="Candara" w:hAnsi="Candara"/>
                <w:bCs/>
              </w:rPr>
            </w:pPr>
            <w:r w:rsidRPr="007D60B0">
              <w:rPr>
                <w:rFonts w:ascii="Candara" w:hAnsi="Candara"/>
                <w:bCs/>
              </w:rPr>
              <w:t>1,3</w:t>
            </w:r>
          </w:p>
        </w:tc>
      </w:tr>
      <w:tr w:rsidR="00BD2EAA" w:rsidRPr="007D60B0" w:rsidTr="00BD2EAA">
        <w:trPr>
          <w:trHeight w:val="20"/>
        </w:trPr>
        <w:tc>
          <w:tcPr>
            <w:tcW w:w="1563" w:type="pct"/>
            <w:noWrap/>
          </w:tcPr>
          <w:p w:rsidR="00BD2EAA" w:rsidRPr="007D60B0" w:rsidRDefault="00BD2EAA" w:rsidP="00BD2EAA">
            <w:pPr>
              <w:rPr>
                <w:rFonts w:ascii="Candara" w:hAnsi="Candara"/>
                <w:b/>
                <w:bCs/>
              </w:rPr>
            </w:pPr>
            <w:r w:rsidRPr="007D60B0">
              <w:rPr>
                <w:rFonts w:ascii="Candara" w:hAnsi="Candara"/>
                <w:b/>
              </w:rPr>
              <w:t>EXTREMADURA</w:t>
            </w:r>
          </w:p>
        </w:tc>
        <w:tc>
          <w:tcPr>
            <w:tcW w:w="886" w:type="pct"/>
            <w:noWrap/>
          </w:tcPr>
          <w:p w:rsidR="00BD2EAA" w:rsidRPr="007D60B0" w:rsidRDefault="00BD2EAA" w:rsidP="00BD2EAA">
            <w:pPr>
              <w:jc w:val="right"/>
              <w:rPr>
                <w:rFonts w:ascii="Candara" w:hAnsi="Candara"/>
                <w:bCs/>
              </w:rPr>
            </w:pPr>
            <w:r w:rsidRPr="007D60B0">
              <w:rPr>
                <w:rFonts w:ascii="Candara" w:hAnsi="Candara"/>
                <w:bCs/>
              </w:rPr>
              <w:t>7,4</w:t>
            </w:r>
          </w:p>
        </w:tc>
        <w:tc>
          <w:tcPr>
            <w:tcW w:w="853" w:type="pct"/>
            <w:noWrap/>
          </w:tcPr>
          <w:p w:rsidR="00BD2EAA" w:rsidRPr="007D60B0" w:rsidRDefault="00BD2EAA" w:rsidP="00BD2EAA">
            <w:pPr>
              <w:jc w:val="right"/>
              <w:rPr>
                <w:rFonts w:ascii="Candara" w:hAnsi="Candara"/>
                <w:b/>
                <w:bCs/>
              </w:rPr>
            </w:pPr>
            <w:r w:rsidRPr="007D60B0">
              <w:rPr>
                <w:rFonts w:ascii="Candara" w:hAnsi="Candara"/>
                <w:b/>
                <w:bCs/>
              </w:rPr>
              <w:t>4,5</w:t>
            </w:r>
          </w:p>
        </w:tc>
        <w:tc>
          <w:tcPr>
            <w:tcW w:w="850" w:type="pct"/>
            <w:noWrap/>
          </w:tcPr>
          <w:p w:rsidR="00BD2EAA" w:rsidRPr="007D60B0" w:rsidRDefault="00BD2EAA" w:rsidP="00BD2EAA">
            <w:pPr>
              <w:jc w:val="right"/>
              <w:rPr>
                <w:rFonts w:ascii="Candara" w:hAnsi="Candara"/>
                <w:bCs/>
              </w:rPr>
            </w:pPr>
            <w:r w:rsidRPr="007D60B0">
              <w:rPr>
                <w:rFonts w:ascii="Candara" w:hAnsi="Candara"/>
              </w:rPr>
              <w:t>-39,5%</w:t>
            </w:r>
          </w:p>
        </w:tc>
        <w:tc>
          <w:tcPr>
            <w:tcW w:w="848" w:type="pct"/>
            <w:noWrap/>
          </w:tcPr>
          <w:p w:rsidR="00BD2EAA" w:rsidRPr="007D60B0" w:rsidRDefault="00BD2EAA" w:rsidP="00BD2EAA">
            <w:pPr>
              <w:jc w:val="right"/>
              <w:rPr>
                <w:rFonts w:ascii="Candara" w:hAnsi="Candara"/>
                <w:bCs/>
              </w:rPr>
            </w:pPr>
            <w:r w:rsidRPr="007D60B0">
              <w:rPr>
                <w:rFonts w:ascii="Candara" w:hAnsi="Candara"/>
                <w:bCs/>
              </w:rPr>
              <w:t>4,1</w:t>
            </w:r>
          </w:p>
        </w:tc>
      </w:tr>
      <w:tr w:rsidR="00BD2EAA" w:rsidRPr="007D60B0" w:rsidTr="00BD2EAA">
        <w:trPr>
          <w:trHeight w:val="20"/>
        </w:trPr>
        <w:tc>
          <w:tcPr>
            <w:tcW w:w="1563" w:type="pct"/>
            <w:noWrap/>
          </w:tcPr>
          <w:p w:rsidR="00BD2EAA" w:rsidRPr="007D60B0" w:rsidRDefault="00BD2EAA" w:rsidP="00BD2EAA">
            <w:pPr>
              <w:rPr>
                <w:rFonts w:ascii="Candara" w:hAnsi="Candara"/>
                <w:b/>
                <w:bCs/>
              </w:rPr>
            </w:pPr>
            <w:r w:rsidRPr="007D60B0">
              <w:rPr>
                <w:rFonts w:ascii="Candara" w:hAnsi="Candara"/>
                <w:b/>
              </w:rPr>
              <w:t>GALICIA</w:t>
            </w:r>
          </w:p>
        </w:tc>
        <w:tc>
          <w:tcPr>
            <w:tcW w:w="886" w:type="pct"/>
            <w:noWrap/>
          </w:tcPr>
          <w:p w:rsidR="00BD2EAA" w:rsidRPr="007D60B0" w:rsidRDefault="00BD2EAA" w:rsidP="00BD2EAA">
            <w:pPr>
              <w:jc w:val="right"/>
              <w:rPr>
                <w:rFonts w:ascii="Candara" w:hAnsi="Candara"/>
                <w:bCs/>
              </w:rPr>
            </w:pPr>
            <w:r w:rsidRPr="007D60B0">
              <w:rPr>
                <w:rFonts w:ascii="Candara" w:hAnsi="Candara"/>
                <w:bCs/>
              </w:rPr>
              <w:t>12,6</w:t>
            </w:r>
          </w:p>
        </w:tc>
        <w:tc>
          <w:tcPr>
            <w:tcW w:w="853" w:type="pct"/>
            <w:noWrap/>
          </w:tcPr>
          <w:p w:rsidR="00BD2EAA" w:rsidRPr="007D60B0" w:rsidRDefault="00BD2EAA" w:rsidP="00BD2EAA">
            <w:pPr>
              <w:jc w:val="right"/>
              <w:rPr>
                <w:rFonts w:ascii="Candara" w:hAnsi="Candara"/>
                <w:b/>
                <w:bCs/>
              </w:rPr>
            </w:pPr>
            <w:r w:rsidRPr="007D60B0">
              <w:rPr>
                <w:rFonts w:ascii="Candara" w:hAnsi="Candara"/>
                <w:b/>
                <w:bCs/>
              </w:rPr>
              <w:t>8,5</w:t>
            </w:r>
          </w:p>
        </w:tc>
        <w:tc>
          <w:tcPr>
            <w:tcW w:w="850" w:type="pct"/>
            <w:noWrap/>
          </w:tcPr>
          <w:p w:rsidR="00BD2EAA" w:rsidRPr="007D60B0" w:rsidRDefault="00BD2EAA" w:rsidP="00BD2EAA">
            <w:pPr>
              <w:jc w:val="right"/>
              <w:rPr>
                <w:rFonts w:ascii="Candara" w:hAnsi="Candara"/>
                <w:bCs/>
              </w:rPr>
            </w:pPr>
            <w:r w:rsidRPr="007D60B0">
              <w:rPr>
                <w:rFonts w:ascii="Candara" w:hAnsi="Candara"/>
              </w:rPr>
              <w:t>-32,6%</w:t>
            </w:r>
          </w:p>
        </w:tc>
        <w:tc>
          <w:tcPr>
            <w:tcW w:w="848" w:type="pct"/>
            <w:noWrap/>
          </w:tcPr>
          <w:p w:rsidR="00BD2EAA" w:rsidRPr="007D60B0" w:rsidRDefault="00BD2EAA" w:rsidP="00BD2EAA">
            <w:pPr>
              <w:jc w:val="right"/>
              <w:rPr>
                <w:rFonts w:ascii="Candara" w:hAnsi="Candara"/>
                <w:bCs/>
              </w:rPr>
            </w:pPr>
            <w:r w:rsidRPr="007D60B0">
              <w:rPr>
                <w:rFonts w:ascii="Candara" w:hAnsi="Candara"/>
                <w:bCs/>
              </w:rPr>
              <w:t>3,0</w:t>
            </w:r>
          </w:p>
        </w:tc>
      </w:tr>
      <w:tr w:rsidR="00BD2EAA" w:rsidRPr="007D60B0" w:rsidTr="000D6DDD">
        <w:trPr>
          <w:trHeight w:val="20"/>
        </w:trPr>
        <w:tc>
          <w:tcPr>
            <w:tcW w:w="1563" w:type="pct"/>
            <w:shd w:val="clear" w:color="auto" w:fill="F79646"/>
            <w:noWrap/>
          </w:tcPr>
          <w:p w:rsidR="00BD2EAA" w:rsidRPr="007D60B0" w:rsidRDefault="00BD2EAA" w:rsidP="00BD2EAA">
            <w:pPr>
              <w:rPr>
                <w:rFonts w:ascii="Candara" w:hAnsi="Candara"/>
                <w:b/>
                <w:bCs/>
              </w:rPr>
            </w:pPr>
            <w:r w:rsidRPr="007D60B0">
              <w:rPr>
                <w:rFonts w:ascii="Candara" w:hAnsi="Candara"/>
                <w:b/>
              </w:rPr>
              <w:t>MADRID</w:t>
            </w:r>
          </w:p>
        </w:tc>
        <w:tc>
          <w:tcPr>
            <w:tcW w:w="886" w:type="pct"/>
            <w:shd w:val="clear" w:color="auto" w:fill="F79646"/>
            <w:noWrap/>
          </w:tcPr>
          <w:p w:rsidR="00BD2EAA" w:rsidRPr="007D60B0" w:rsidRDefault="00BD2EAA" w:rsidP="00BD2EAA">
            <w:pPr>
              <w:jc w:val="right"/>
              <w:rPr>
                <w:rFonts w:ascii="Candara" w:hAnsi="Candara"/>
                <w:bCs/>
              </w:rPr>
            </w:pPr>
            <w:r w:rsidRPr="007D60B0">
              <w:rPr>
                <w:rFonts w:ascii="Candara" w:hAnsi="Candara"/>
                <w:bCs/>
              </w:rPr>
              <w:t>11,3</w:t>
            </w:r>
          </w:p>
        </w:tc>
        <w:tc>
          <w:tcPr>
            <w:tcW w:w="853" w:type="pct"/>
            <w:shd w:val="clear" w:color="auto" w:fill="F79646"/>
            <w:noWrap/>
          </w:tcPr>
          <w:p w:rsidR="00BD2EAA" w:rsidRPr="007D60B0" w:rsidRDefault="00BD2EAA" w:rsidP="00BD2EAA">
            <w:pPr>
              <w:jc w:val="right"/>
              <w:rPr>
                <w:rFonts w:ascii="Candara" w:hAnsi="Candara"/>
                <w:b/>
                <w:bCs/>
              </w:rPr>
            </w:pPr>
            <w:r w:rsidRPr="007D60B0">
              <w:rPr>
                <w:rFonts w:ascii="Candara" w:hAnsi="Candara"/>
                <w:b/>
                <w:bCs/>
              </w:rPr>
              <w:t>7,0</w:t>
            </w:r>
          </w:p>
        </w:tc>
        <w:tc>
          <w:tcPr>
            <w:tcW w:w="850" w:type="pct"/>
            <w:shd w:val="clear" w:color="auto" w:fill="F79646"/>
            <w:noWrap/>
          </w:tcPr>
          <w:p w:rsidR="00BD2EAA" w:rsidRPr="007D60B0" w:rsidRDefault="00BD2EAA" w:rsidP="00BD2EAA">
            <w:pPr>
              <w:jc w:val="right"/>
              <w:rPr>
                <w:rFonts w:ascii="Candara" w:hAnsi="Candara"/>
                <w:bCs/>
              </w:rPr>
            </w:pPr>
            <w:r w:rsidRPr="007D60B0">
              <w:rPr>
                <w:rFonts w:ascii="Candara" w:hAnsi="Candara"/>
              </w:rPr>
              <w:t>-38,3%</w:t>
            </w:r>
          </w:p>
        </w:tc>
        <w:tc>
          <w:tcPr>
            <w:tcW w:w="848" w:type="pct"/>
            <w:shd w:val="clear" w:color="auto" w:fill="F79646"/>
            <w:noWrap/>
          </w:tcPr>
          <w:p w:rsidR="00BD2EAA" w:rsidRPr="007D60B0" w:rsidRDefault="00BD2EAA" w:rsidP="00BD2EAA">
            <w:pPr>
              <w:jc w:val="right"/>
              <w:rPr>
                <w:rFonts w:ascii="Candara" w:hAnsi="Candara"/>
                <w:bCs/>
              </w:rPr>
            </w:pPr>
            <w:r w:rsidRPr="007D60B0">
              <w:rPr>
                <w:rFonts w:ascii="Candara" w:hAnsi="Candara"/>
                <w:bCs/>
              </w:rPr>
              <w:t>1,1</w:t>
            </w:r>
          </w:p>
        </w:tc>
      </w:tr>
      <w:tr w:rsidR="00BD2EAA" w:rsidRPr="007D60B0" w:rsidTr="00BD2EAA">
        <w:trPr>
          <w:trHeight w:val="20"/>
        </w:trPr>
        <w:tc>
          <w:tcPr>
            <w:tcW w:w="1563" w:type="pct"/>
            <w:noWrap/>
          </w:tcPr>
          <w:p w:rsidR="00BD2EAA" w:rsidRPr="007D60B0" w:rsidRDefault="00BD2EAA" w:rsidP="00BD2EAA">
            <w:pPr>
              <w:rPr>
                <w:rFonts w:ascii="Candara" w:hAnsi="Candara"/>
                <w:b/>
                <w:bCs/>
              </w:rPr>
            </w:pPr>
            <w:r w:rsidRPr="007D60B0">
              <w:rPr>
                <w:rFonts w:ascii="Candara" w:hAnsi="Candara"/>
                <w:b/>
              </w:rPr>
              <w:t>MURCIA</w:t>
            </w:r>
          </w:p>
        </w:tc>
        <w:tc>
          <w:tcPr>
            <w:tcW w:w="886" w:type="pct"/>
            <w:noWrap/>
          </w:tcPr>
          <w:p w:rsidR="00BD2EAA" w:rsidRPr="007D60B0" w:rsidRDefault="00BD2EAA" w:rsidP="00BD2EAA">
            <w:pPr>
              <w:jc w:val="right"/>
              <w:rPr>
                <w:rFonts w:ascii="Candara" w:hAnsi="Candara"/>
                <w:bCs/>
              </w:rPr>
            </w:pPr>
            <w:r w:rsidRPr="007D60B0">
              <w:rPr>
                <w:rFonts w:ascii="Candara" w:hAnsi="Candara"/>
                <w:bCs/>
              </w:rPr>
              <w:t>4,5</w:t>
            </w:r>
          </w:p>
        </w:tc>
        <w:tc>
          <w:tcPr>
            <w:tcW w:w="853" w:type="pct"/>
            <w:noWrap/>
          </w:tcPr>
          <w:p w:rsidR="00BD2EAA" w:rsidRPr="007D60B0" w:rsidRDefault="00BD2EAA" w:rsidP="00BD2EAA">
            <w:pPr>
              <w:jc w:val="right"/>
              <w:rPr>
                <w:rFonts w:ascii="Candara" w:hAnsi="Candara"/>
                <w:b/>
                <w:bCs/>
              </w:rPr>
            </w:pPr>
            <w:r w:rsidRPr="007D60B0">
              <w:rPr>
                <w:rFonts w:ascii="Candara" w:hAnsi="Candara"/>
                <w:b/>
                <w:bCs/>
              </w:rPr>
              <w:t>3,3</w:t>
            </w:r>
          </w:p>
        </w:tc>
        <w:tc>
          <w:tcPr>
            <w:tcW w:w="850" w:type="pct"/>
            <w:noWrap/>
          </w:tcPr>
          <w:p w:rsidR="00BD2EAA" w:rsidRPr="007D60B0" w:rsidRDefault="00BD2EAA" w:rsidP="00BD2EAA">
            <w:pPr>
              <w:jc w:val="right"/>
              <w:rPr>
                <w:rFonts w:ascii="Candara" w:hAnsi="Candara"/>
                <w:bCs/>
              </w:rPr>
            </w:pPr>
            <w:r w:rsidRPr="007D60B0">
              <w:rPr>
                <w:rFonts w:ascii="Candara" w:hAnsi="Candara"/>
              </w:rPr>
              <w:t>-27,1%</w:t>
            </w:r>
          </w:p>
        </w:tc>
        <w:tc>
          <w:tcPr>
            <w:tcW w:w="848" w:type="pct"/>
            <w:noWrap/>
          </w:tcPr>
          <w:p w:rsidR="00BD2EAA" w:rsidRPr="007D60B0" w:rsidRDefault="00BD2EAA" w:rsidP="00BD2EAA">
            <w:pPr>
              <w:jc w:val="right"/>
              <w:rPr>
                <w:rFonts w:ascii="Candara" w:hAnsi="Candara"/>
                <w:bCs/>
              </w:rPr>
            </w:pPr>
            <w:r w:rsidRPr="007D60B0">
              <w:rPr>
                <w:rFonts w:ascii="Candara" w:hAnsi="Candara"/>
                <w:bCs/>
              </w:rPr>
              <w:t>2,2</w:t>
            </w:r>
          </w:p>
        </w:tc>
      </w:tr>
      <w:tr w:rsidR="00BD2EAA" w:rsidRPr="007D60B0" w:rsidTr="00BD2EAA">
        <w:trPr>
          <w:trHeight w:val="20"/>
        </w:trPr>
        <w:tc>
          <w:tcPr>
            <w:tcW w:w="1563" w:type="pct"/>
            <w:noWrap/>
          </w:tcPr>
          <w:p w:rsidR="00BD2EAA" w:rsidRPr="007D60B0" w:rsidRDefault="00BD2EAA" w:rsidP="00BD2EAA">
            <w:pPr>
              <w:rPr>
                <w:rFonts w:ascii="Candara" w:hAnsi="Candara"/>
                <w:b/>
                <w:bCs/>
              </w:rPr>
            </w:pPr>
            <w:r w:rsidRPr="007D60B0">
              <w:rPr>
                <w:rFonts w:ascii="Candara" w:hAnsi="Candara"/>
                <w:b/>
              </w:rPr>
              <w:t>NAVARRA</w:t>
            </w:r>
          </w:p>
        </w:tc>
        <w:tc>
          <w:tcPr>
            <w:tcW w:w="886" w:type="pct"/>
            <w:noWrap/>
          </w:tcPr>
          <w:p w:rsidR="00BD2EAA" w:rsidRPr="007D60B0" w:rsidRDefault="00BD2EAA" w:rsidP="00BD2EAA">
            <w:pPr>
              <w:jc w:val="right"/>
              <w:rPr>
                <w:rFonts w:ascii="Candara" w:hAnsi="Candara"/>
                <w:bCs/>
              </w:rPr>
            </w:pPr>
            <w:r w:rsidRPr="007D60B0">
              <w:rPr>
                <w:rFonts w:ascii="Candara" w:hAnsi="Candara"/>
                <w:bCs/>
              </w:rPr>
              <w:t>5,8</w:t>
            </w:r>
          </w:p>
        </w:tc>
        <w:tc>
          <w:tcPr>
            <w:tcW w:w="853" w:type="pct"/>
            <w:noWrap/>
          </w:tcPr>
          <w:p w:rsidR="00BD2EAA" w:rsidRPr="007D60B0" w:rsidRDefault="00BD2EAA" w:rsidP="00BD2EAA">
            <w:pPr>
              <w:jc w:val="right"/>
              <w:rPr>
                <w:rFonts w:ascii="Candara" w:hAnsi="Candara"/>
                <w:b/>
                <w:bCs/>
              </w:rPr>
            </w:pPr>
            <w:r w:rsidRPr="007D60B0">
              <w:rPr>
                <w:rFonts w:ascii="Candara" w:hAnsi="Candara"/>
                <w:b/>
                <w:bCs/>
              </w:rPr>
              <w:t>4,2</w:t>
            </w:r>
          </w:p>
        </w:tc>
        <w:tc>
          <w:tcPr>
            <w:tcW w:w="850" w:type="pct"/>
            <w:noWrap/>
          </w:tcPr>
          <w:p w:rsidR="00BD2EAA" w:rsidRPr="007D60B0" w:rsidRDefault="00BD2EAA" w:rsidP="00BD2EAA">
            <w:pPr>
              <w:jc w:val="right"/>
              <w:rPr>
                <w:rFonts w:ascii="Candara" w:hAnsi="Candara"/>
                <w:bCs/>
              </w:rPr>
            </w:pPr>
            <w:r w:rsidRPr="007D60B0">
              <w:rPr>
                <w:rFonts w:ascii="Candara" w:hAnsi="Candara"/>
              </w:rPr>
              <w:t>-27,5%</w:t>
            </w:r>
          </w:p>
        </w:tc>
        <w:tc>
          <w:tcPr>
            <w:tcW w:w="848" w:type="pct"/>
            <w:noWrap/>
          </w:tcPr>
          <w:p w:rsidR="00BD2EAA" w:rsidRPr="007D60B0" w:rsidRDefault="00BD2EAA" w:rsidP="00BD2EAA">
            <w:pPr>
              <w:jc w:val="right"/>
              <w:rPr>
                <w:rFonts w:ascii="Candara" w:hAnsi="Candara"/>
                <w:bCs/>
              </w:rPr>
            </w:pPr>
            <w:r w:rsidRPr="007D60B0">
              <w:rPr>
                <w:rFonts w:ascii="Candara" w:hAnsi="Candara"/>
                <w:bCs/>
              </w:rPr>
              <w:t>6,5</w:t>
            </w:r>
          </w:p>
        </w:tc>
      </w:tr>
      <w:tr w:rsidR="00BD2EAA" w:rsidRPr="007D60B0" w:rsidTr="00BD2EAA">
        <w:trPr>
          <w:trHeight w:val="20"/>
        </w:trPr>
        <w:tc>
          <w:tcPr>
            <w:tcW w:w="1563" w:type="pct"/>
            <w:noWrap/>
          </w:tcPr>
          <w:p w:rsidR="00BD2EAA" w:rsidRPr="007D60B0" w:rsidRDefault="00BD2EAA" w:rsidP="00BD2EAA">
            <w:pPr>
              <w:rPr>
                <w:rFonts w:ascii="Candara" w:hAnsi="Candara"/>
                <w:b/>
                <w:bCs/>
              </w:rPr>
            </w:pPr>
            <w:r w:rsidRPr="007D60B0">
              <w:rPr>
                <w:rFonts w:ascii="Candara" w:hAnsi="Candara"/>
                <w:b/>
              </w:rPr>
              <w:t>PAÍS VASCO</w:t>
            </w:r>
          </w:p>
        </w:tc>
        <w:tc>
          <w:tcPr>
            <w:tcW w:w="886" w:type="pct"/>
            <w:noWrap/>
          </w:tcPr>
          <w:p w:rsidR="00BD2EAA" w:rsidRPr="007D60B0" w:rsidRDefault="00BD2EAA" w:rsidP="00BD2EAA">
            <w:pPr>
              <w:jc w:val="right"/>
              <w:rPr>
                <w:rFonts w:ascii="Candara" w:hAnsi="Candara"/>
                <w:bCs/>
              </w:rPr>
            </w:pPr>
            <w:r w:rsidRPr="007D60B0">
              <w:rPr>
                <w:rFonts w:ascii="Candara" w:hAnsi="Candara"/>
                <w:bCs/>
              </w:rPr>
              <w:t>5,5</w:t>
            </w:r>
          </w:p>
        </w:tc>
        <w:tc>
          <w:tcPr>
            <w:tcW w:w="853" w:type="pct"/>
            <w:noWrap/>
          </w:tcPr>
          <w:p w:rsidR="00BD2EAA" w:rsidRPr="007D60B0" w:rsidRDefault="00BD2EAA" w:rsidP="00BD2EAA">
            <w:pPr>
              <w:jc w:val="right"/>
              <w:rPr>
                <w:rFonts w:ascii="Candara" w:hAnsi="Candara"/>
                <w:b/>
                <w:bCs/>
              </w:rPr>
            </w:pPr>
            <w:r w:rsidRPr="007D60B0">
              <w:rPr>
                <w:rFonts w:ascii="Candara" w:hAnsi="Candara"/>
                <w:b/>
                <w:bCs/>
              </w:rPr>
              <w:t>4,4</w:t>
            </w:r>
          </w:p>
        </w:tc>
        <w:tc>
          <w:tcPr>
            <w:tcW w:w="850" w:type="pct"/>
            <w:noWrap/>
          </w:tcPr>
          <w:p w:rsidR="00BD2EAA" w:rsidRPr="007D60B0" w:rsidRDefault="00BD2EAA" w:rsidP="00BD2EAA">
            <w:pPr>
              <w:jc w:val="right"/>
              <w:rPr>
                <w:rFonts w:ascii="Candara" w:hAnsi="Candara"/>
                <w:bCs/>
              </w:rPr>
            </w:pPr>
            <w:r w:rsidRPr="007D60B0">
              <w:rPr>
                <w:rFonts w:ascii="Candara" w:hAnsi="Candara"/>
              </w:rPr>
              <w:t>-19,3%</w:t>
            </w:r>
          </w:p>
        </w:tc>
        <w:tc>
          <w:tcPr>
            <w:tcW w:w="848" w:type="pct"/>
            <w:noWrap/>
          </w:tcPr>
          <w:p w:rsidR="00BD2EAA" w:rsidRPr="007D60B0" w:rsidRDefault="00BD2EAA" w:rsidP="00BD2EAA">
            <w:pPr>
              <w:jc w:val="right"/>
              <w:rPr>
                <w:rFonts w:ascii="Candara" w:hAnsi="Candara"/>
                <w:bCs/>
              </w:rPr>
            </w:pPr>
            <w:r w:rsidRPr="007D60B0">
              <w:rPr>
                <w:rFonts w:ascii="Candara" w:hAnsi="Candara"/>
                <w:bCs/>
              </w:rPr>
              <w:t>2,0</w:t>
            </w:r>
          </w:p>
        </w:tc>
      </w:tr>
      <w:tr w:rsidR="00BD2EAA" w:rsidRPr="007D60B0" w:rsidTr="00BD2EAA">
        <w:trPr>
          <w:trHeight w:val="20"/>
        </w:trPr>
        <w:tc>
          <w:tcPr>
            <w:tcW w:w="1563" w:type="pct"/>
            <w:noWrap/>
          </w:tcPr>
          <w:p w:rsidR="00BD2EAA" w:rsidRPr="007D60B0" w:rsidRDefault="00BD2EAA" w:rsidP="00BD2EAA">
            <w:pPr>
              <w:rPr>
                <w:rFonts w:ascii="Candara" w:hAnsi="Candara"/>
                <w:b/>
                <w:bCs/>
              </w:rPr>
            </w:pPr>
            <w:r w:rsidRPr="007D60B0">
              <w:rPr>
                <w:rFonts w:ascii="Candara" w:hAnsi="Candara"/>
                <w:b/>
              </w:rPr>
              <w:t>LA RIOJA</w:t>
            </w:r>
          </w:p>
        </w:tc>
        <w:tc>
          <w:tcPr>
            <w:tcW w:w="886" w:type="pct"/>
            <w:noWrap/>
          </w:tcPr>
          <w:p w:rsidR="00BD2EAA" w:rsidRPr="007D60B0" w:rsidRDefault="00BD2EAA" w:rsidP="00BD2EAA">
            <w:pPr>
              <w:jc w:val="right"/>
              <w:rPr>
                <w:rFonts w:ascii="Candara" w:hAnsi="Candara"/>
                <w:bCs/>
              </w:rPr>
            </w:pPr>
            <w:r w:rsidRPr="007D60B0">
              <w:rPr>
                <w:rFonts w:ascii="Candara" w:hAnsi="Candara"/>
                <w:bCs/>
              </w:rPr>
              <w:t>1,8</w:t>
            </w:r>
          </w:p>
        </w:tc>
        <w:tc>
          <w:tcPr>
            <w:tcW w:w="853" w:type="pct"/>
            <w:noWrap/>
          </w:tcPr>
          <w:p w:rsidR="00BD2EAA" w:rsidRPr="007D60B0" w:rsidRDefault="00BD2EAA" w:rsidP="00BD2EAA">
            <w:pPr>
              <w:jc w:val="right"/>
              <w:rPr>
                <w:rFonts w:ascii="Candara" w:hAnsi="Candara"/>
                <w:b/>
                <w:bCs/>
              </w:rPr>
            </w:pPr>
            <w:r w:rsidRPr="007D60B0">
              <w:rPr>
                <w:rFonts w:ascii="Candara" w:hAnsi="Candara"/>
                <w:b/>
                <w:bCs/>
              </w:rPr>
              <w:t>1,4</w:t>
            </w:r>
          </w:p>
        </w:tc>
        <w:tc>
          <w:tcPr>
            <w:tcW w:w="850" w:type="pct"/>
            <w:noWrap/>
          </w:tcPr>
          <w:p w:rsidR="00BD2EAA" w:rsidRPr="007D60B0" w:rsidRDefault="00BD2EAA" w:rsidP="00BD2EAA">
            <w:pPr>
              <w:jc w:val="right"/>
              <w:rPr>
                <w:rFonts w:ascii="Candara" w:hAnsi="Candara"/>
                <w:bCs/>
              </w:rPr>
            </w:pPr>
            <w:r w:rsidRPr="007D60B0">
              <w:rPr>
                <w:rFonts w:ascii="Candara" w:hAnsi="Candara"/>
              </w:rPr>
              <w:t>-23,2%</w:t>
            </w:r>
          </w:p>
        </w:tc>
        <w:tc>
          <w:tcPr>
            <w:tcW w:w="848" w:type="pct"/>
            <w:noWrap/>
          </w:tcPr>
          <w:p w:rsidR="00BD2EAA" w:rsidRPr="007D60B0" w:rsidRDefault="00BD2EAA" w:rsidP="00BD2EAA">
            <w:pPr>
              <w:jc w:val="right"/>
              <w:rPr>
                <w:rFonts w:ascii="Candara" w:hAnsi="Candara"/>
                <w:bCs/>
              </w:rPr>
            </w:pPr>
            <w:r w:rsidRPr="007D60B0">
              <w:rPr>
                <w:rFonts w:ascii="Candara" w:hAnsi="Candara"/>
                <w:bCs/>
              </w:rPr>
              <w:t>4,3</w:t>
            </w:r>
          </w:p>
        </w:tc>
      </w:tr>
      <w:tr w:rsidR="00BD2EAA" w:rsidRPr="007D60B0" w:rsidTr="00BD2EAA">
        <w:trPr>
          <w:trHeight w:val="20"/>
        </w:trPr>
        <w:tc>
          <w:tcPr>
            <w:tcW w:w="1563" w:type="pct"/>
            <w:noWrap/>
          </w:tcPr>
          <w:p w:rsidR="00BD2EAA" w:rsidRPr="007D60B0" w:rsidRDefault="00BD2EAA" w:rsidP="00BD2EAA">
            <w:pPr>
              <w:rPr>
                <w:rFonts w:ascii="Candara" w:hAnsi="Candara"/>
                <w:b/>
                <w:bCs/>
              </w:rPr>
            </w:pPr>
            <w:r w:rsidRPr="007D60B0">
              <w:rPr>
                <w:rFonts w:ascii="Candara" w:hAnsi="Candara"/>
                <w:b/>
                <w:bCs/>
              </w:rPr>
              <w:t>TOTAL</w:t>
            </w:r>
          </w:p>
        </w:tc>
        <w:tc>
          <w:tcPr>
            <w:tcW w:w="886" w:type="pct"/>
            <w:noWrap/>
          </w:tcPr>
          <w:p w:rsidR="00BD2EAA" w:rsidRPr="007D60B0" w:rsidRDefault="00BD2EAA" w:rsidP="00BD2EAA">
            <w:pPr>
              <w:jc w:val="right"/>
              <w:rPr>
                <w:rFonts w:ascii="Candara" w:hAnsi="Candara"/>
                <w:b/>
                <w:bCs/>
              </w:rPr>
            </w:pPr>
            <w:r w:rsidRPr="007D60B0">
              <w:rPr>
                <w:rFonts w:ascii="Candara" w:hAnsi="Candara"/>
                <w:b/>
                <w:bCs/>
              </w:rPr>
              <w:t>173,0</w:t>
            </w:r>
          </w:p>
        </w:tc>
        <w:tc>
          <w:tcPr>
            <w:tcW w:w="853" w:type="pct"/>
            <w:noWrap/>
          </w:tcPr>
          <w:p w:rsidR="00BD2EAA" w:rsidRPr="007D60B0" w:rsidRDefault="00BD2EAA" w:rsidP="00BD2EAA">
            <w:pPr>
              <w:jc w:val="right"/>
              <w:rPr>
                <w:rFonts w:ascii="Candara" w:hAnsi="Candara"/>
                <w:b/>
                <w:bCs/>
              </w:rPr>
            </w:pPr>
            <w:r w:rsidRPr="007D60B0">
              <w:rPr>
                <w:rFonts w:ascii="Candara" w:hAnsi="Candara"/>
                <w:b/>
                <w:bCs/>
              </w:rPr>
              <w:t>112,5</w:t>
            </w:r>
          </w:p>
        </w:tc>
        <w:tc>
          <w:tcPr>
            <w:tcW w:w="850" w:type="pct"/>
            <w:noWrap/>
          </w:tcPr>
          <w:p w:rsidR="00BD2EAA" w:rsidRPr="007D60B0" w:rsidRDefault="00BD2EAA" w:rsidP="00BD2EAA">
            <w:pPr>
              <w:jc w:val="right"/>
              <w:rPr>
                <w:rFonts w:ascii="Candara" w:hAnsi="Candara"/>
                <w:b/>
                <w:bCs/>
              </w:rPr>
            </w:pPr>
            <w:r w:rsidRPr="007D60B0">
              <w:rPr>
                <w:rFonts w:ascii="Candara" w:hAnsi="Candara"/>
                <w:b/>
              </w:rPr>
              <w:t>-35,0%</w:t>
            </w:r>
          </w:p>
        </w:tc>
        <w:tc>
          <w:tcPr>
            <w:tcW w:w="848" w:type="pct"/>
            <w:noWrap/>
          </w:tcPr>
          <w:p w:rsidR="00BD2EAA" w:rsidRPr="007D60B0" w:rsidRDefault="00BD2EAA" w:rsidP="00BD2EAA">
            <w:pPr>
              <w:jc w:val="right"/>
              <w:rPr>
                <w:rFonts w:ascii="Candara" w:hAnsi="Candara"/>
                <w:b/>
                <w:bCs/>
              </w:rPr>
            </w:pPr>
            <w:r w:rsidRPr="007D60B0">
              <w:rPr>
                <w:rFonts w:ascii="Candara" w:hAnsi="Candara"/>
                <w:b/>
                <w:bCs/>
              </w:rPr>
              <w:t>2,4</w:t>
            </w:r>
          </w:p>
        </w:tc>
      </w:tr>
    </w:tbl>
    <w:p w:rsidR="00BD2EAA" w:rsidRPr="007D60B0" w:rsidRDefault="00BD2EAA" w:rsidP="00BD2EAA">
      <w:pPr>
        <w:pStyle w:val="Prrafodelista"/>
        <w:spacing w:before="120"/>
        <w:ind w:left="0"/>
        <w:jc w:val="both"/>
        <w:rPr>
          <w:rFonts w:ascii="Candara" w:hAnsi="Candara" w:cs="Tahoma"/>
        </w:rPr>
      </w:pPr>
      <w:r w:rsidRPr="007D60B0">
        <w:rPr>
          <w:rFonts w:ascii="Candara" w:hAnsi="Candara" w:cs="Tahoma"/>
        </w:rPr>
        <w:lastRenderedPageBreak/>
        <w:t>Además de la brusca disminución de la demanda experimentada desde 2007, el sector de los áridos y, por extensión, los de la mayoría de productos de construcción, siguen atravesando por una situación de estrangulamiento del capital circulante que está afectando a muchas de sus empresas, por estar sometidas al doble esfuerzo de fabricar y enviar los productos sin ningún tipo de cobertura de riesgo y, simultáneamente, tener que soportar la tensión de tesorería que supone cobrar, en muchos casos, a más de 240 días, con la posibilidad real de que el cobro no se llegue a producir.</w:t>
      </w:r>
    </w:p>
    <w:p w:rsidR="00BD2EAA" w:rsidRPr="007D60B0" w:rsidRDefault="00BD2EAA" w:rsidP="00BD2EAA">
      <w:pPr>
        <w:pStyle w:val="Prrafodelista"/>
        <w:spacing w:before="120"/>
        <w:ind w:left="0"/>
        <w:jc w:val="both"/>
        <w:rPr>
          <w:rFonts w:ascii="Candara" w:hAnsi="Candara" w:cs="Tahoma"/>
        </w:rPr>
      </w:pPr>
      <w:r w:rsidRPr="007D60B0">
        <w:rPr>
          <w:rFonts w:ascii="Candara" w:hAnsi="Candara" w:cs="Tahoma"/>
        </w:rPr>
        <w:t xml:space="preserve">Esta situación ha supuesto la </w:t>
      </w:r>
      <w:r w:rsidRPr="007D60B0">
        <w:rPr>
          <w:rFonts w:ascii="Candara" w:hAnsi="Candara" w:cs="Tahoma"/>
          <w:b/>
        </w:rPr>
        <w:t>destrucción de cerca de 6.500 puestos de trabajo directos</w:t>
      </w:r>
      <w:r w:rsidRPr="007D60B0">
        <w:rPr>
          <w:rFonts w:ascii="Candara" w:hAnsi="Candara" w:cs="Tahoma"/>
        </w:rPr>
        <w:t xml:space="preserve"> y </w:t>
      </w:r>
      <w:r w:rsidRPr="007D60B0">
        <w:rPr>
          <w:rFonts w:ascii="Candara" w:hAnsi="Candara" w:cs="Tahoma"/>
          <w:b/>
        </w:rPr>
        <w:t>22.500 puestos de trabajo indirectos</w:t>
      </w:r>
      <w:r w:rsidRPr="007D60B0">
        <w:rPr>
          <w:rFonts w:ascii="Candara" w:hAnsi="Candara" w:cs="Tahoma"/>
        </w:rPr>
        <w:t xml:space="preserve"> desde el inicio de la crisis.</w:t>
      </w:r>
    </w:p>
    <w:p w:rsidR="00BD2EAA" w:rsidRDefault="00BD2EAA" w:rsidP="00BD2EAA">
      <w:pPr>
        <w:pStyle w:val="Prrafodelista"/>
        <w:spacing w:before="120"/>
        <w:ind w:left="0"/>
        <w:jc w:val="both"/>
        <w:rPr>
          <w:rFonts w:ascii="Candara" w:hAnsi="Candara" w:cs="Tahoma"/>
        </w:rPr>
      </w:pPr>
      <w:r w:rsidRPr="007D60B0">
        <w:rPr>
          <w:rFonts w:ascii="Candara" w:hAnsi="Candara" w:cs="Tahoma"/>
        </w:rPr>
        <w:t xml:space="preserve">En otro orden de cosas, la </w:t>
      </w:r>
      <w:r w:rsidRPr="007D60B0">
        <w:rPr>
          <w:rFonts w:ascii="Candara" w:hAnsi="Candara" w:cs="Tahoma"/>
          <w:b/>
        </w:rPr>
        <w:t>caída del consumo de áridos para la construcción en 2012</w:t>
      </w:r>
      <w:r w:rsidRPr="007D60B0">
        <w:rPr>
          <w:rFonts w:ascii="Candara" w:hAnsi="Candara" w:cs="Tahoma"/>
        </w:rPr>
        <w:t xml:space="preserve"> muestra una </w:t>
      </w:r>
      <w:r w:rsidRPr="007D60B0">
        <w:rPr>
          <w:rFonts w:ascii="Candara" w:hAnsi="Candara" w:cs="Tahoma"/>
          <w:b/>
        </w:rPr>
        <w:t>evolución territorial muy desigual</w:t>
      </w:r>
      <w:r w:rsidRPr="007D60B0">
        <w:rPr>
          <w:rFonts w:ascii="Candara" w:hAnsi="Candara" w:cs="Tahoma"/>
        </w:rPr>
        <w:t xml:space="preserve">, situándose en los extremos de mayor retroceso la Comunidad Valenciana (-58,2%), Castilla-La Mancha (-42,6%) y Canarias (-40,2%). </w:t>
      </w:r>
    </w:p>
    <w:p w:rsidR="007D60B0" w:rsidRDefault="007D60B0" w:rsidP="00BD2EAA">
      <w:pPr>
        <w:pStyle w:val="Prrafodelista"/>
        <w:spacing w:before="120"/>
        <w:ind w:left="0"/>
        <w:jc w:val="both"/>
        <w:rPr>
          <w:rFonts w:ascii="Candara" w:hAnsi="Candara" w:cs="Tahoma"/>
        </w:rPr>
      </w:pPr>
    </w:p>
    <w:p w:rsidR="007D60B0" w:rsidRPr="007D60B0" w:rsidRDefault="007D60B0" w:rsidP="00BD2EAA">
      <w:pPr>
        <w:pStyle w:val="Prrafodelista"/>
        <w:spacing w:before="120"/>
        <w:ind w:left="0"/>
        <w:jc w:val="both"/>
        <w:rPr>
          <w:rFonts w:ascii="Candara" w:hAnsi="Candara" w:cs="Tahoma"/>
        </w:rPr>
      </w:pPr>
    </w:p>
    <w:p w:rsidR="00BD2EAA" w:rsidRDefault="001F5AF1" w:rsidP="00BD2EAA">
      <w:pPr>
        <w:jc w:val="center"/>
        <w:rPr>
          <w:rFonts w:ascii="Calibri" w:hAnsi="Calibri"/>
          <w:i/>
          <w:sz w:val="22"/>
          <w:szCs w:val="22"/>
          <w:lang w:val="es-ES"/>
        </w:rPr>
      </w:pPr>
      <w:r>
        <w:rPr>
          <w:rFonts w:ascii="Calibri" w:hAnsi="Calibri"/>
          <w:noProof/>
          <w:sz w:val="22"/>
          <w:szCs w:val="22"/>
          <w:lang w:val="es-ES" w:eastAsia="es-ES"/>
        </w:rPr>
        <w:drawing>
          <wp:inline distT="0" distB="0" distL="0" distR="0">
            <wp:extent cx="5516618" cy="3155369"/>
            <wp:effectExtent l="12471" t="6931" r="4936" b="0"/>
            <wp:docPr id="5"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BD2EAA" w:rsidRPr="000424B5">
        <w:rPr>
          <w:rFonts w:ascii="Calibri" w:hAnsi="Calibri"/>
          <w:i/>
          <w:sz w:val="22"/>
          <w:szCs w:val="22"/>
          <w:lang w:val="es-ES"/>
        </w:rPr>
        <w:t>Variación del consumo de áridos para la construcción por Comunidades Autónomas. 2012/2011. ANEFA.</w:t>
      </w:r>
    </w:p>
    <w:p w:rsidR="007D60B0" w:rsidRPr="000424B5" w:rsidRDefault="007D60B0" w:rsidP="00BD2EAA">
      <w:pPr>
        <w:jc w:val="center"/>
        <w:rPr>
          <w:rFonts w:ascii="Calibri" w:hAnsi="Calibri"/>
          <w:i/>
          <w:sz w:val="22"/>
          <w:szCs w:val="22"/>
          <w:lang w:val="es-ES"/>
        </w:rPr>
      </w:pPr>
    </w:p>
    <w:p w:rsidR="00BD2EAA" w:rsidRPr="007D60B0" w:rsidRDefault="00BD2EAA" w:rsidP="00BD2EAA">
      <w:pPr>
        <w:pStyle w:val="Prrafodelista"/>
        <w:spacing w:before="120"/>
        <w:ind w:left="0"/>
        <w:jc w:val="both"/>
        <w:rPr>
          <w:rFonts w:ascii="Candara" w:hAnsi="Candara" w:cs="Tahoma"/>
        </w:rPr>
      </w:pPr>
      <w:r w:rsidRPr="007D60B0">
        <w:rPr>
          <w:rFonts w:ascii="Candara" w:hAnsi="Candara" w:cs="Tahoma"/>
        </w:rPr>
        <w:t xml:space="preserve">Navarra, Cantabria y Asturias son, por este orden, las Comunidades Autónomas con menor incidencia desde el inicio de la crisis, mostrando retrocesos ya por encima del -50%. En el otro extremo se sitúan la Comunidad Valenciana, Madrid, Canarias, la Región de Murcia y Andalucía, con retrocesos superiores al -80%. </w:t>
      </w:r>
    </w:p>
    <w:p w:rsidR="00BD2EAA" w:rsidRPr="007D60B0" w:rsidRDefault="001F5AF1" w:rsidP="00BD2EAA">
      <w:pPr>
        <w:pStyle w:val="Prrafodelista"/>
        <w:spacing w:before="120"/>
        <w:ind w:left="0"/>
        <w:jc w:val="both"/>
        <w:rPr>
          <w:rFonts w:ascii="Candara" w:hAnsi="Candara" w:cs="Tahoma"/>
        </w:rPr>
      </w:pPr>
      <w:r>
        <w:rPr>
          <w:rFonts w:ascii="Candara" w:hAnsi="Candara"/>
          <w:noProof/>
          <w:lang w:val="es-ES" w:eastAsia="es-ES"/>
        </w:rPr>
        <w:lastRenderedPageBreak/>
        <w:drawing>
          <wp:inline distT="0" distB="0" distL="0" distR="0">
            <wp:extent cx="5393182" cy="3365754"/>
            <wp:effectExtent l="12192" t="6096" r="4826" b="0"/>
            <wp:docPr id="6"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D2EAA" w:rsidRDefault="00BD2EAA" w:rsidP="00BD2EAA">
      <w:pPr>
        <w:jc w:val="center"/>
        <w:rPr>
          <w:rFonts w:ascii="Calibri" w:hAnsi="Calibri"/>
          <w:i/>
          <w:sz w:val="22"/>
          <w:szCs w:val="22"/>
          <w:lang w:val="es-ES"/>
        </w:rPr>
      </w:pPr>
      <w:r w:rsidRPr="000424B5">
        <w:rPr>
          <w:rFonts w:ascii="Calibri" w:hAnsi="Calibri"/>
          <w:i/>
          <w:sz w:val="22"/>
          <w:szCs w:val="22"/>
          <w:lang w:val="es-ES"/>
        </w:rPr>
        <w:t xml:space="preserve">Variación del consumo de áridos para la construcción por Comunidades Autónomas. 2012/2006. ANEFA. </w:t>
      </w:r>
    </w:p>
    <w:p w:rsidR="007D60B0" w:rsidRPr="000424B5" w:rsidRDefault="007D60B0" w:rsidP="00BD2EAA">
      <w:pPr>
        <w:jc w:val="center"/>
        <w:rPr>
          <w:rFonts w:ascii="Calibri" w:hAnsi="Calibri"/>
          <w:i/>
          <w:sz w:val="22"/>
          <w:szCs w:val="22"/>
          <w:lang w:val="es-ES"/>
        </w:rPr>
      </w:pPr>
    </w:p>
    <w:p w:rsidR="00BD2EAA" w:rsidRPr="000424B5" w:rsidRDefault="001F5AF1" w:rsidP="00BD2EAA">
      <w:pPr>
        <w:jc w:val="center"/>
        <w:rPr>
          <w:rFonts w:ascii="Calibri" w:hAnsi="Calibri"/>
          <w:i/>
          <w:sz w:val="22"/>
          <w:szCs w:val="22"/>
          <w:lang w:val="es-ES"/>
        </w:rPr>
      </w:pPr>
      <w:r>
        <w:rPr>
          <w:rFonts w:ascii="Calibri" w:hAnsi="Calibri"/>
          <w:noProof/>
          <w:sz w:val="22"/>
          <w:szCs w:val="22"/>
          <w:lang w:val="es-ES" w:eastAsia="es-ES"/>
        </w:rPr>
        <w:drawing>
          <wp:inline distT="0" distB="0" distL="0" distR="0">
            <wp:extent cx="5393182" cy="2915515"/>
            <wp:effectExtent l="12192" t="6096" r="4826" b="2564"/>
            <wp:docPr id="7"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BD2EAA" w:rsidRPr="000424B5">
        <w:rPr>
          <w:rFonts w:ascii="Calibri" w:hAnsi="Calibri"/>
          <w:i/>
          <w:sz w:val="22"/>
          <w:szCs w:val="22"/>
          <w:lang w:val="es-ES"/>
        </w:rPr>
        <w:t>Consumo de áridos por habitante por Comunidades Autónomas. 2012. ANEFA.</w:t>
      </w:r>
    </w:p>
    <w:p w:rsidR="007D60B0" w:rsidRDefault="007D60B0" w:rsidP="00BD2EAA">
      <w:pPr>
        <w:spacing w:before="120"/>
        <w:jc w:val="both"/>
        <w:rPr>
          <w:rFonts w:ascii="Candara" w:hAnsi="Candara" w:cs="Tahoma"/>
        </w:rPr>
      </w:pPr>
    </w:p>
    <w:p w:rsidR="00BD2EAA" w:rsidRPr="007D60B0" w:rsidRDefault="00BD2EAA" w:rsidP="00BD2EAA">
      <w:pPr>
        <w:spacing w:before="120"/>
        <w:jc w:val="both"/>
        <w:rPr>
          <w:rFonts w:ascii="Candara" w:hAnsi="Candara" w:cs="Tahoma"/>
        </w:rPr>
      </w:pPr>
      <w:r w:rsidRPr="007D60B0">
        <w:rPr>
          <w:rFonts w:ascii="Candara" w:hAnsi="Candara" w:cs="Tahoma"/>
        </w:rPr>
        <w:t xml:space="preserve">Desde 2006, cuando el </w:t>
      </w:r>
      <w:r w:rsidRPr="007D60B0">
        <w:rPr>
          <w:rFonts w:ascii="Candara" w:hAnsi="Candara" w:cs="Tahoma"/>
          <w:b/>
        </w:rPr>
        <w:t>consumo de áridos por habitante en España</w:t>
      </w:r>
      <w:r w:rsidRPr="007D60B0">
        <w:rPr>
          <w:rFonts w:ascii="Candara" w:hAnsi="Candara" w:cs="Tahoma"/>
        </w:rPr>
        <w:t xml:space="preserve"> era uno de los más importantes de Europa, con cerca de 12 toneladas/habitante/año, esta cifra ha sufrido una reducción considerable, hasta </w:t>
      </w:r>
      <w:r w:rsidRPr="007D60B0">
        <w:rPr>
          <w:rFonts w:ascii="Candara" w:hAnsi="Candara" w:cs="Tahoma"/>
          <w:b/>
        </w:rPr>
        <w:t>2,4, situándose netamente por debajo de la media europea (5,2 toneladas/habitante/año)</w:t>
      </w:r>
      <w:r w:rsidRPr="007D60B0">
        <w:rPr>
          <w:rFonts w:ascii="Candara" w:hAnsi="Candara" w:cs="Tahoma"/>
        </w:rPr>
        <w:t xml:space="preserve">. Estos valores son más propios de países subdesarrollados del tercer mundo que de una economía occidental integrada en la UE como la española. </w:t>
      </w:r>
    </w:p>
    <w:p w:rsidR="00BD2EAA" w:rsidRPr="007D60B0" w:rsidRDefault="00BD2EAA" w:rsidP="00BD2EAA">
      <w:pPr>
        <w:spacing w:before="120"/>
        <w:jc w:val="both"/>
        <w:rPr>
          <w:rFonts w:ascii="Candara" w:hAnsi="Candara" w:cs="Tahoma"/>
        </w:rPr>
      </w:pPr>
      <w:r w:rsidRPr="007D60B0">
        <w:rPr>
          <w:rFonts w:ascii="Candara" w:hAnsi="Candara" w:cs="Tahoma"/>
        </w:rPr>
        <w:t xml:space="preserve">Destacan por lo negativo de los valores que presentan, la Comunidad de Madrid (1,1 t/hab./año), la Comunidad Valenciana (1,3 t/hab./año) y Canarias (1,4 t/hab./año). </w:t>
      </w:r>
      <w:r w:rsidRPr="007D60B0">
        <w:rPr>
          <w:rFonts w:ascii="Candara" w:hAnsi="Candara" w:cs="Tahoma"/>
        </w:rPr>
        <w:lastRenderedPageBreak/>
        <w:t xml:space="preserve">Navarra (6,5 t/hab./año) y Cantabria (5,2 t/hab./año)  son las únicas Comunidades Autónomas con consumos superior o igual a la media europea. </w:t>
      </w:r>
    </w:p>
    <w:p w:rsidR="007D60B0" w:rsidRPr="007D60B0" w:rsidRDefault="00BD2EAA" w:rsidP="00BD2EAA">
      <w:pPr>
        <w:spacing w:before="120"/>
        <w:jc w:val="both"/>
        <w:rPr>
          <w:rFonts w:ascii="Candara" w:hAnsi="Candara" w:cs="Tahoma"/>
        </w:rPr>
      </w:pPr>
      <w:r w:rsidRPr="007D60B0">
        <w:rPr>
          <w:rFonts w:ascii="Candara" w:hAnsi="Candara" w:cs="Tahoma"/>
        </w:rPr>
        <w:t xml:space="preserve">Actualmente, </w:t>
      </w:r>
      <w:r w:rsidRPr="007D60B0">
        <w:rPr>
          <w:rFonts w:ascii="Candara" w:hAnsi="Candara" w:cs="Tahoma"/>
          <w:b/>
        </w:rPr>
        <w:t>España</w:t>
      </w:r>
      <w:r w:rsidRPr="007D60B0">
        <w:rPr>
          <w:rFonts w:ascii="Candara" w:hAnsi="Candara" w:cs="Tahoma"/>
        </w:rPr>
        <w:t xml:space="preserve"> – que se encontraba en segunda posición en 2006 – ocupa el </w:t>
      </w:r>
      <w:r w:rsidRPr="007D60B0">
        <w:rPr>
          <w:rFonts w:ascii="Candara" w:hAnsi="Candara" w:cs="Tahoma"/>
          <w:b/>
        </w:rPr>
        <w:t>octavo lugar de Europa en producción total de áridos</w:t>
      </w:r>
      <w:r w:rsidRPr="007D60B0">
        <w:rPr>
          <w:rFonts w:ascii="Candara" w:hAnsi="Candara" w:cs="Tahoma"/>
        </w:rPr>
        <w:t>, por detrás de Alemania, Rusia, Francia, Turquía, Polonia, Italia y el Reino Unido. Existen grandes probabilidades de que España pase al decimotercer puesto a finales de 2013, siendo rebasado por Austria, Rumanía, Finlandia, Bélgica y Suecia.</w:t>
      </w:r>
    </w:p>
    <w:p w:rsidR="00BD2EAA" w:rsidRPr="007D60B0" w:rsidRDefault="007D60B0" w:rsidP="007D60B0">
      <w:pPr>
        <w:spacing w:before="120"/>
        <w:jc w:val="center"/>
        <w:rPr>
          <w:rFonts w:ascii="Candara" w:hAnsi="Candara" w:cs="Tahoma"/>
          <w:b/>
          <w:color w:val="E36C0A"/>
          <w:sz w:val="28"/>
          <w:szCs w:val="28"/>
        </w:rPr>
      </w:pPr>
      <w:r w:rsidRPr="007D60B0">
        <w:rPr>
          <w:rFonts w:ascii="Candara" w:hAnsi="Candara" w:cs="Tahoma"/>
          <w:b/>
          <w:color w:val="E36C0A"/>
          <w:sz w:val="28"/>
          <w:szCs w:val="28"/>
        </w:rPr>
        <w:t>PERSPECTIVAS PARA 2013 Y 2014</w:t>
      </w:r>
    </w:p>
    <w:p w:rsidR="00BD2EAA" w:rsidRPr="007D60B0" w:rsidRDefault="00BD2EAA" w:rsidP="00BD2EAA">
      <w:pPr>
        <w:widowControl w:val="0"/>
        <w:autoSpaceDE w:val="0"/>
        <w:autoSpaceDN w:val="0"/>
        <w:adjustRightInd w:val="0"/>
        <w:spacing w:before="120"/>
        <w:jc w:val="both"/>
        <w:rPr>
          <w:rFonts w:ascii="Candara" w:hAnsi="Candara"/>
          <w:lang w:val="es-ES"/>
        </w:rPr>
      </w:pPr>
      <w:r w:rsidRPr="007D60B0">
        <w:rPr>
          <w:rFonts w:ascii="Candara" w:hAnsi="Candara"/>
          <w:lang w:val="es-ES"/>
        </w:rPr>
        <w:t xml:space="preserve">Las correspondientes actualizaciones del Programa de Estabilidad Presupuestaria anuncian ajustes adicionales de la inversión pública que, según el último plan, se extenderán hasta, al menos 2015. </w:t>
      </w:r>
    </w:p>
    <w:p w:rsidR="00BD2EAA" w:rsidRPr="007D60B0" w:rsidRDefault="00BD2EAA" w:rsidP="00BD2EAA">
      <w:pPr>
        <w:widowControl w:val="0"/>
        <w:autoSpaceDE w:val="0"/>
        <w:autoSpaceDN w:val="0"/>
        <w:adjustRightInd w:val="0"/>
        <w:spacing w:before="120"/>
        <w:jc w:val="both"/>
        <w:rPr>
          <w:rFonts w:ascii="Candara" w:hAnsi="Candara"/>
          <w:lang w:val="es-ES"/>
        </w:rPr>
      </w:pPr>
      <w:r w:rsidRPr="007D60B0">
        <w:rPr>
          <w:rFonts w:ascii="Candara" w:hAnsi="Candara"/>
          <w:lang w:val="es-ES"/>
        </w:rPr>
        <w:t>Los Presupuestos Generales del Estado, para 2013, muestran que las inversiones reales por Ministerios, serán de 8.943 M€, el 0,8% del PIB, lo que supone un descenso del -60% respecto al máximo alcanzado en 2009.</w:t>
      </w:r>
    </w:p>
    <w:p w:rsidR="00BD2EAA" w:rsidRPr="007D60B0" w:rsidRDefault="00BD2EAA" w:rsidP="00BD2EAA">
      <w:pPr>
        <w:widowControl w:val="0"/>
        <w:autoSpaceDE w:val="0"/>
        <w:autoSpaceDN w:val="0"/>
        <w:adjustRightInd w:val="0"/>
        <w:spacing w:before="120"/>
        <w:jc w:val="both"/>
        <w:rPr>
          <w:rFonts w:ascii="Candara" w:hAnsi="Candara"/>
          <w:lang w:val="es-ES"/>
        </w:rPr>
      </w:pPr>
      <w:r w:rsidRPr="007D60B0">
        <w:rPr>
          <w:rFonts w:ascii="Candara" w:hAnsi="Candara"/>
          <w:lang w:val="es-ES"/>
        </w:rPr>
        <w:t>Para 2013 y 2014, según los datos existentes en la actualidad, se puede decir que la inversión pública española se reducirá un -41% y un -48% respectivamente, sobre lo registrado en 2011, según datos de Seopan.</w:t>
      </w:r>
    </w:p>
    <w:p w:rsidR="00BD2EAA" w:rsidRPr="007D60B0" w:rsidRDefault="00BD2EAA" w:rsidP="00BD2EAA">
      <w:pPr>
        <w:spacing w:before="120"/>
        <w:jc w:val="both"/>
        <w:rPr>
          <w:rFonts w:ascii="Candara" w:hAnsi="Candara" w:cs="Tahoma"/>
        </w:rPr>
      </w:pPr>
      <w:r w:rsidRPr="007D60B0">
        <w:rPr>
          <w:rFonts w:ascii="Candara" w:hAnsi="Candara" w:cs="Tahoma"/>
        </w:rPr>
        <w:t>En 2013, el sector de la construcción restará un 1% al PIB y, de no cambiar esa tendencia, en 2014, su contribución volverá a ser negativa.</w:t>
      </w:r>
    </w:p>
    <w:p w:rsidR="00BD2EAA" w:rsidRPr="007D60B0" w:rsidRDefault="00BD2EAA" w:rsidP="00BD2EAA">
      <w:pPr>
        <w:spacing w:before="120"/>
        <w:jc w:val="both"/>
        <w:rPr>
          <w:rFonts w:ascii="Candara" w:hAnsi="Candara" w:cs="Tahoma"/>
          <w:bCs/>
        </w:rPr>
      </w:pPr>
      <w:r w:rsidRPr="007D60B0">
        <w:rPr>
          <w:rFonts w:ascii="Candara" w:hAnsi="Candara" w:cs="Tahoma"/>
          <w:bCs/>
        </w:rPr>
        <w:t>Por otro lado, la previsión de Euroconstruct sobre la evolución de los distintos subsectores de la construcción en España, para el periodo 2012 – 2015, muestra que:</w:t>
      </w:r>
    </w:p>
    <w:p w:rsidR="00BD2EAA" w:rsidRPr="007D60B0" w:rsidRDefault="00BD2EAA" w:rsidP="00BD2EAA">
      <w:pPr>
        <w:pStyle w:val="Piedepgina"/>
        <w:numPr>
          <w:ilvl w:val="0"/>
          <w:numId w:val="14"/>
        </w:numPr>
        <w:tabs>
          <w:tab w:val="clear" w:pos="4252"/>
          <w:tab w:val="clear" w:pos="6051"/>
          <w:tab w:val="clear" w:pos="8504"/>
          <w:tab w:val="num" w:pos="426"/>
        </w:tabs>
        <w:spacing w:before="120"/>
        <w:ind w:left="426" w:hanging="426"/>
        <w:jc w:val="both"/>
        <w:rPr>
          <w:rFonts w:ascii="Candara" w:hAnsi="Candara" w:cs="Arial"/>
        </w:rPr>
      </w:pPr>
      <w:r w:rsidRPr="007D60B0">
        <w:rPr>
          <w:rFonts w:ascii="Candara" w:hAnsi="Candara" w:cs="Arial"/>
        </w:rPr>
        <w:t xml:space="preserve">La edificación residencial se mantendrá en una situación plana, en el entorno del -20% ó -25% de la situación de 2006. </w:t>
      </w:r>
      <w:r w:rsidRPr="007D60B0">
        <w:rPr>
          <w:rFonts w:ascii="Candara" w:hAnsi="Candara" w:cs="Tahoma"/>
        </w:rPr>
        <w:t>Sigue sumida en una parálisis debido a que continúa la depreciación de la vivienda, la escasez de transacciones y las restricciones al crédito. Un panorama que se ha visto poco alterado por las medidas introducidas en la segunda mitad del 2012: más impuestos para la vivienda, puesta en marcha del “banco malo” y nueva política pública de vivienda.</w:t>
      </w:r>
    </w:p>
    <w:p w:rsidR="00BD2EAA" w:rsidRPr="007D60B0" w:rsidRDefault="00BD2EAA" w:rsidP="00BD2EAA">
      <w:pPr>
        <w:pStyle w:val="Piedepgina"/>
        <w:numPr>
          <w:ilvl w:val="0"/>
          <w:numId w:val="14"/>
        </w:numPr>
        <w:tabs>
          <w:tab w:val="clear" w:pos="4252"/>
          <w:tab w:val="clear" w:pos="6051"/>
          <w:tab w:val="clear" w:pos="8504"/>
          <w:tab w:val="num" w:pos="426"/>
        </w:tabs>
        <w:spacing w:before="120"/>
        <w:ind w:left="426" w:hanging="426"/>
        <w:jc w:val="both"/>
        <w:rPr>
          <w:rFonts w:ascii="Candara" w:hAnsi="Candara" w:cs="Arial"/>
        </w:rPr>
      </w:pPr>
      <w:r w:rsidRPr="007D60B0">
        <w:rPr>
          <w:rFonts w:ascii="Candara" w:hAnsi="Candara" w:cs="Arial"/>
        </w:rPr>
        <w:t xml:space="preserve">La edificación no residencial se estabilizará en el entorno del 25% de la situación de 2006. </w:t>
      </w:r>
      <w:r w:rsidRPr="007D60B0">
        <w:rPr>
          <w:rFonts w:ascii="Candara" w:hAnsi="Candara" w:cs="Tahoma"/>
        </w:rPr>
        <w:t>Presenta síntomas idénticos a los de la vivienda (sequía financiera, mínima demanda, stocks en aumento) que se intentan contrarrestar también por los mismos medios (interrupción de proyectos, rebajas en los precios). Aunque se confiaba en que algunos segmentos como comercio y logística pudiesen tocar fondo más pronto que el resto, esto es algo que ha quedado descartado conforme se han ido desvaneciendo las expectativas de asistir a una inflexión de la economía española en 2013.</w:t>
      </w:r>
    </w:p>
    <w:p w:rsidR="00BD2EAA" w:rsidRPr="007D60B0" w:rsidRDefault="00BD2EAA" w:rsidP="00BD2EAA">
      <w:pPr>
        <w:pStyle w:val="Piedepgina"/>
        <w:numPr>
          <w:ilvl w:val="0"/>
          <w:numId w:val="14"/>
        </w:numPr>
        <w:tabs>
          <w:tab w:val="clear" w:pos="4252"/>
          <w:tab w:val="clear" w:pos="6051"/>
          <w:tab w:val="clear" w:pos="8504"/>
          <w:tab w:val="num" w:pos="426"/>
        </w:tabs>
        <w:spacing w:before="120"/>
        <w:ind w:left="426" w:hanging="426"/>
        <w:jc w:val="both"/>
        <w:rPr>
          <w:rFonts w:ascii="Candara" w:hAnsi="Candara" w:cs="Arial"/>
        </w:rPr>
      </w:pPr>
      <w:r w:rsidRPr="007D60B0">
        <w:rPr>
          <w:rFonts w:ascii="Candara" w:hAnsi="Candara" w:cs="Arial"/>
        </w:rPr>
        <w:t>La rehabilitación se mantendrá en el entorno del 45% de la registrada en 2006, aunque no se esperan resultados a corto plazo de las iniciativas del Gobierno para potenciarla.</w:t>
      </w:r>
    </w:p>
    <w:p w:rsidR="00BD2EAA" w:rsidRPr="007D60B0" w:rsidRDefault="00BD2EAA" w:rsidP="00BD2EAA">
      <w:pPr>
        <w:pStyle w:val="Piedepgina"/>
        <w:numPr>
          <w:ilvl w:val="0"/>
          <w:numId w:val="14"/>
        </w:numPr>
        <w:tabs>
          <w:tab w:val="clear" w:pos="4252"/>
          <w:tab w:val="clear" w:pos="6051"/>
          <w:tab w:val="clear" w:pos="8504"/>
          <w:tab w:val="num" w:pos="426"/>
        </w:tabs>
        <w:spacing w:before="120"/>
        <w:ind w:left="426" w:hanging="426"/>
        <w:jc w:val="both"/>
        <w:rPr>
          <w:rFonts w:ascii="Candara" w:hAnsi="Candara" w:cs="Arial"/>
        </w:rPr>
      </w:pPr>
      <w:r w:rsidRPr="007D60B0">
        <w:rPr>
          <w:rFonts w:ascii="Candara" w:hAnsi="Candara" w:cs="Arial"/>
        </w:rPr>
        <w:t xml:space="preserve">La obra civil proseguirá su caída, hasta detenerse por debajo del 20% de los valores de 2006. El estado actual y las previsiones de la ingeniería civil son el reflejo de un país que dedica todos sus esfuerzos a consolidar sus cuentas públicas, sacrificando en el proceso a la inversión en infraestructuras. Las cifras </w:t>
      </w:r>
      <w:r w:rsidRPr="007D60B0">
        <w:rPr>
          <w:rFonts w:ascii="Candara" w:hAnsi="Candara" w:cs="Arial"/>
        </w:rPr>
        <w:lastRenderedPageBreak/>
        <w:t>ilustran hasta qué punto se está aplicando esta doctrina. Más a medio plazo, el nuevo plan de infraestructuras 2012-2024 resulta poco explícito, particularmente al respecto de cómo se va a materializar la colaboración público-privada imprescindible para poder ejecutar dicho plan. Mientras esta cuestión y otras como la reforma energética no se clarifiquen, y mientras se siga priorizando la contención del déficit, será complicado presenciar un cambio de tendencia en términos de actividad constructiva.</w:t>
      </w:r>
    </w:p>
    <w:p w:rsidR="00BD2EAA" w:rsidRPr="000424B5" w:rsidRDefault="001F5AF1" w:rsidP="00BD2EAA">
      <w:pPr>
        <w:spacing w:before="120"/>
        <w:jc w:val="both"/>
        <w:rPr>
          <w:rFonts w:ascii="Calibri" w:hAnsi="Calibri"/>
          <w:sz w:val="22"/>
          <w:szCs w:val="22"/>
        </w:rPr>
      </w:pPr>
      <w:r>
        <w:rPr>
          <w:rFonts w:ascii="Calibri" w:hAnsi="Calibri"/>
          <w:noProof/>
          <w:sz w:val="22"/>
          <w:szCs w:val="22"/>
          <w:lang w:val="es-ES" w:eastAsia="es-ES"/>
        </w:rPr>
        <w:drawing>
          <wp:inline distT="0" distB="0" distL="0" distR="0">
            <wp:extent cx="5419725" cy="2886075"/>
            <wp:effectExtent l="0" t="0" r="0" b="0"/>
            <wp:docPr id="8" name="Gráfico 108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D2EAA" w:rsidRPr="000424B5" w:rsidRDefault="00BD2EAA" w:rsidP="00BD2EAA">
      <w:pPr>
        <w:jc w:val="center"/>
        <w:rPr>
          <w:rFonts w:ascii="Calibri" w:hAnsi="Calibri"/>
          <w:i/>
          <w:sz w:val="22"/>
          <w:szCs w:val="22"/>
          <w:lang w:val="es-ES"/>
        </w:rPr>
      </w:pPr>
      <w:r w:rsidRPr="000424B5">
        <w:rPr>
          <w:rFonts w:ascii="Calibri" w:hAnsi="Calibri"/>
          <w:i/>
          <w:sz w:val="22"/>
          <w:szCs w:val="22"/>
          <w:lang w:val="es-ES"/>
        </w:rPr>
        <w:t>Evolución de los distintos subsectores de la construcción en España 2006 – 2015*. Euroconstruct y elaboración propia</w:t>
      </w:r>
      <w:r>
        <w:rPr>
          <w:rFonts w:ascii="Calibri" w:hAnsi="Calibri"/>
          <w:i/>
          <w:sz w:val="22"/>
          <w:szCs w:val="22"/>
          <w:lang w:val="es-ES"/>
        </w:rPr>
        <w:t>.</w:t>
      </w:r>
    </w:p>
    <w:p w:rsidR="00BD2EAA" w:rsidRPr="007D60B0" w:rsidRDefault="00BD2EAA" w:rsidP="00BD2EAA">
      <w:pPr>
        <w:widowControl w:val="0"/>
        <w:autoSpaceDE w:val="0"/>
        <w:autoSpaceDN w:val="0"/>
        <w:adjustRightInd w:val="0"/>
        <w:spacing w:before="120"/>
        <w:jc w:val="both"/>
        <w:rPr>
          <w:rFonts w:ascii="Candara" w:hAnsi="Candara"/>
          <w:lang w:val="es-ES"/>
        </w:rPr>
      </w:pPr>
      <w:r w:rsidRPr="007D60B0">
        <w:rPr>
          <w:rFonts w:ascii="Candara" w:hAnsi="Candara"/>
          <w:lang w:val="es-ES"/>
        </w:rPr>
        <w:t>Confirmando lo anterior, la licitación en el primer trimestre de 2013 prosigue con su caída, aunque más amortiguada, con un total de -7,2%, retrocediendo las Administraciones autonómicas (-50,2%) y locales (-24,7%), mientras que la Administración General del Estado crece el 110,2%.</w:t>
      </w:r>
    </w:p>
    <w:p w:rsidR="00BD2EAA" w:rsidRPr="007D60B0" w:rsidRDefault="00BD2EAA" w:rsidP="00BD2EAA">
      <w:pPr>
        <w:widowControl w:val="0"/>
        <w:autoSpaceDE w:val="0"/>
        <w:autoSpaceDN w:val="0"/>
        <w:adjustRightInd w:val="0"/>
        <w:spacing w:before="120"/>
        <w:jc w:val="both"/>
        <w:rPr>
          <w:rFonts w:ascii="Candara" w:hAnsi="Candara"/>
          <w:lang w:val="es-ES"/>
        </w:rPr>
      </w:pPr>
      <w:r w:rsidRPr="007D60B0">
        <w:rPr>
          <w:rFonts w:ascii="Candara" w:hAnsi="Candara"/>
          <w:lang w:val="es-ES"/>
        </w:rPr>
        <w:t>En términos interanuales, la licitación a finales de marzo de 2013, arrastra un retroceso del -38,3%, con caídas en todas las Administraciones</w:t>
      </w:r>
      <w:r w:rsidR="007D60B0" w:rsidRPr="007D60B0">
        <w:rPr>
          <w:rFonts w:ascii="Candara" w:hAnsi="Candara"/>
          <w:lang w:val="es-ES"/>
        </w:rPr>
        <w:t>: General</w:t>
      </w:r>
      <w:r w:rsidRPr="007D60B0">
        <w:rPr>
          <w:rFonts w:ascii="Candara" w:hAnsi="Candara"/>
          <w:lang w:val="es-ES"/>
        </w:rPr>
        <w:t xml:space="preserve"> del Estado (-44,5%), autonómicas (-47,0%) y locales (-15,6%).</w:t>
      </w:r>
    </w:p>
    <w:p w:rsidR="00BD2EAA" w:rsidRPr="000424B5" w:rsidRDefault="00BD2EAA" w:rsidP="00BD2EAA">
      <w:pPr>
        <w:widowControl w:val="0"/>
        <w:autoSpaceDE w:val="0"/>
        <w:autoSpaceDN w:val="0"/>
        <w:adjustRightInd w:val="0"/>
        <w:jc w:val="both"/>
        <w:rPr>
          <w:rFonts w:ascii="Calibri" w:hAnsi="Calibri"/>
          <w:sz w:val="22"/>
          <w:szCs w:val="22"/>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tblPr>
      <w:tblGrid>
        <w:gridCol w:w="2093"/>
        <w:gridCol w:w="1638"/>
        <w:gridCol w:w="1638"/>
        <w:gridCol w:w="1638"/>
        <w:gridCol w:w="1638"/>
        <w:gridCol w:w="76"/>
      </w:tblGrid>
      <w:tr w:rsidR="00BD2EAA" w:rsidRPr="000424B5" w:rsidTr="00BD2EAA">
        <w:trPr>
          <w:gridAfter w:val="1"/>
          <w:wAfter w:w="76" w:type="dxa"/>
        </w:trPr>
        <w:tc>
          <w:tcPr>
            <w:tcW w:w="8645" w:type="dxa"/>
            <w:gridSpan w:val="5"/>
          </w:tcPr>
          <w:p w:rsidR="00BD2EAA" w:rsidRPr="007D60B0" w:rsidRDefault="00BD2EAA" w:rsidP="00BD2EAA">
            <w:pPr>
              <w:jc w:val="center"/>
              <w:rPr>
                <w:rFonts w:ascii="Candara" w:hAnsi="Candara" w:cs="Tahoma"/>
                <w:b/>
                <w:bCs/>
              </w:rPr>
            </w:pPr>
            <w:r w:rsidRPr="007D60B0">
              <w:rPr>
                <w:rFonts w:ascii="Candara" w:hAnsi="Candara" w:cs="Tahoma"/>
                <w:b/>
                <w:bCs/>
              </w:rPr>
              <w:t>LICITACIÓN EN CONSTRUCCIÓN POR ADMINISTRACIÓN</w:t>
            </w:r>
          </w:p>
          <w:p w:rsidR="00BD2EAA" w:rsidRPr="007D60B0" w:rsidRDefault="00BD2EAA" w:rsidP="00BD2EAA">
            <w:pPr>
              <w:jc w:val="center"/>
              <w:rPr>
                <w:rFonts w:ascii="Candara" w:hAnsi="Candara" w:cs="Tahoma"/>
                <w:b/>
                <w:bCs/>
              </w:rPr>
            </w:pPr>
            <w:r w:rsidRPr="007D60B0">
              <w:rPr>
                <w:rFonts w:ascii="Candara" w:hAnsi="Candara" w:cs="Tahoma"/>
                <w:b/>
                <w:bCs/>
              </w:rPr>
              <w:t>(Enero - Marzo) 2013/2012 - Millones de Euros</w:t>
            </w:r>
          </w:p>
        </w:tc>
      </w:tr>
      <w:tr w:rsidR="00BD2EAA" w:rsidRPr="000424B5" w:rsidTr="00BD2EAA">
        <w:trPr>
          <w:gridAfter w:val="1"/>
          <w:wAfter w:w="76" w:type="dxa"/>
        </w:trPr>
        <w:tc>
          <w:tcPr>
            <w:tcW w:w="2093" w:type="dxa"/>
          </w:tcPr>
          <w:p w:rsidR="00BD2EAA" w:rsidRPr="00BD2EAA" w:rsidRDefault="00BD2EAA" w:rsidP="00BD2EAA">
            <w:pPr>
              <w:jc w:val="both"/>
              <w:rPr>
                <w:rFonts w:ascii="Calibri" w:hAnsi="Calibri" w:cs="Tahoma"/>
                <w:b/>
                <w:bCs/>
                <w:sz w:val="22"/>
                <w:szCs w:val="22"/>
              </w:rPr>
            </w:pPr>
            <w:r w:rsidRPr="00BD2EAA">
              <w:rPr>
                <w:rFonts w:ascii="Calibri" w:hAnsi="Calibri" w:cs="Tahoma"/>
                <w:b/>
                <w:bCs/>
                <w:sz w:val="22"/>
                <w:szCs w:val="22"/>
              </w:rPr>
              <w:t>ADMINISTRACIÓN</w:t>
            </w:r>
          </w:p>
        </w:tc>
        <w:tc>
          <w:tcPr>
            <w:tcW w:w="1638" w:type="dxa"/>
          </w:tcPr>
          <w:p w:rsidR="00BD2EAA" w:rsidRPr="007D60B0" w:rsidRDefault="00BD2EAA" w:rsidP="00BD2EAA">
            <w:pPr>
              <w:tabs>
                <w:tab w:val="left" w:pos="720"/>
                <w:tab w:val="center" w:pos="756"/>
              </w:tabs>
              <w:jc w:val="center"/>
              <w:rPr>
                <w:rFonts w:ascii="Candara" w:hAnsi="Candara" w:cs="Tahoma"/>
                <w:b/>
                <w:bCs/>
              </w:rPr>
            </w:pPr>
            <w:r w:rsidRPr="007D60B0">
              <w:rPr>
                <w:rFonts w:ascii="Candara" w:hAnsi="Candara" w:cs="Tahoma"/>
                <w:b/>
                <w:bCs/>
              </w:rPr>
              <w:t>2012</w:t>
            </w:r>
          </w:p>
        </w:tc>
        <w:tc>
          <w:tcPr>
            <w:tcW w:w="1638" w:type="dxa"/>
          </w:tcPr>
          <w:p w:rsidR="00BD2EAA" w:rsidRPr="007D60B0" w:rsidRDefault="00BD2EAA" w:rsidP="00BD2EAA">
            <w:pPr>
              <w:tabs>
                <w:tab w:val="left" w:pos="720"/>
                <w:tab w:val="center" w:pos="756"/>
              </w:tabs>
              <w:jc w:val="center"/>
              <w:rPr>
                <w:rFonts w:ascii="Candara" w:hAnsi="Candara" w:cs="Tahoma"/>
                <w:b/>
                <w:bCs/>
              </w:rPr>
            </w:pPr>
            <w:r w:rsidRPr="007D60B0">
              <w:rPr>
                <w:rFonts w:ascii="Candara" w:hAnsi="Candara" w:cs="Tahoma"/>
                <w:b/>
                <w:bCs/>
              </w:rPr>
              <w:t>2013</w:t>
            </w:r>
          </w:p>
        </w:tc>
        <w:tc>
          <w:tcPr>
            <w:tcW w:w="1638" w:type="dxa"/>
          </w:tcPr>
          <w:p w:rsidR="00BD2EAA" w:rsidRPr="007D60B0" w:rsidRDefault="00BD2EAA" w:rsidP="00BD2EAA">
            <w:pPr>
              <w:jc w:val="center"/>
              <w:rPr>
                <w:rFonts w:ascii="Candara" w:hAnsi="Candara" w:cs="Tahoma"/>
                <w:b/>
                <w:bCs/>
              </w:rPr>
            </w:pPr>
            <w:r w:rsidRPr="007D60B0">
              <w:rPr>
                <w:rFonts w:ascii="Candara" w:hAnsi="Candara" w:cs="Tahoma"/>
                <w:b/>
                <w:bCs/>
              </w:rPr>
              <w:t>%</w:t>
            </w:r>
          </w:p>
        </w:tc>
        <w:tc>
          <w:tcPr>
            <w:tcW w:w="1638" w:type="dxa"/>
          </w:tcPr>
          <w:p w:rsidR="00BD2EAA" w:rsidRPr="007D60B0" w:rsidRDefault="00BD2EAA" w:rsidP="00BD2EAA">
            <w:pPr>
              <w:jc w:val="center"/>
              <w:rPr>
                <w:rFonts w:ascii="Candara" w:hAnsi="Candara" w:cs="Tahoma"/>
                <w:b/>
                <w:bCs/>
              </w:rPr>
            </w:pPr>
            <w:r w:rsidRPr="007D60B0">
              <w:rPr>
                <w:rFonts w:ascii="Candara" w:hAnsi="Candara" w:cs="Tahoma"/>
                <w:b/>
                <w:bCs/>
              </w:rPr>
              <w:t>2013/2012</w:t>
            </w:r>
          </w:p>
          <w:p w:rsidR="00BD2EAA" w:rsidRPr="007D60B0" w:rsidRDefault="00BD2EAA" w:rsidP="00BD2EAA">
            <w:pPr>
              <w:jc w:val="center"/>
              <w:rPr>
                <w:rFonts w:ascii="Candara" w:hAnsi="Candara" w:cs="Tahoma"/>
                <w:b/>
                <w:bCs/>
              </w:rPr>
            </w:pPr>
            <w:r w:rsidRPr="007D60B0">
              <w:rPr>
                <w:rFonts w:ascii="Candara" w:hAnsi="Candara" w:cs="Tahoma"/>
                <w:b/>
                <w:bCs/>
              </w:rPr>
              <w:t>(%)</w:t>
            </w:r>
          </w:p>
        </w:tc>
      </w:tr>
      <w:tr w:rsidR="00BD2EAA" w:rsidRPr="000424B5" w:rsidTr="00BD2EAA">
        <w:trPr>
          <w:gridAfter w:val="1"/>
          <w:wAfter w:w="76" w:type="dxa"/>
        </w:trPr>
        <w:tc>
          <w:tcPr>
            <w:tcW w:w="2093" w:type="dxa"/>
          </w:tcPr>
          <w:p w:rsidR="00BD2EAA" w:rsidRPr="00BD2EAA" w:rsidRDefault="00BD2EAA" w:rsidP="00BD2EAA">
            <w:pPr>
              <w:jc w:val="both"/>
              <w:rPr>
                <w:rFonts w:ascii="Calibri" w:hAnsi="Calibri" w:cs="Tahoma"/>
                <w:b/>
                <w:bCs/>
                <w:sz w:val="22"/>
                <w:szCs w:val="22"/>
              </w:rPr>
            </w:pPr>
            <w:r w:rsidRPr="00BD2EAA">
              <w:rPr>
                <w:rFonts w:ascii="Calibri" w:hAnsi="Calibri" w:cs="Tahoma"/>
                <w:b/>
                <w:bCs/>
                <w:sz w:val="22"/>
                <w:szCs w:val="22"/>
              </w:rPr>
              <w:t>A. General</w:t>
            </w:r>
          </w:p>
        </w:tc>
        <w:tc>
          <w:tcPr>
            <w:tcW w:w="1638" w:type="dxa"/>
          </w:tcPr>
          <w:p w:rsidR="00BD2EAA" w:rsidRPr="007D60B0" w:rsidRDefault="00BD2EAA" w:rsidP="00BD2EAA">
            <w:pPr>
              <w:jc w:val="right"/>
              <w:rPr>
                <w:rFonts w:ascii="Candara" w:hAnsi="Candara" w:cs="Arial"/>
                <w:bCs/>
              </w:rPr>
            </w:pPr>
            <w:r w:rsidRPr="007D60B0">
              <w:rPr>
                <w:rFonts w:ascii="Candara" w:hAnsi="Candara" w:cs="Arial"/>
                <w:bCs/>
              </w:rPr>
              <w:t>378</w:t>
            </w:r>
          </w:p>
        </w:tc>
        <w:tc>
          <w:tcPr>
            <w:tcW w:w="1638" w:type="dxa"/>
          </w:tcPr>
          <w:p w:rsidR="00BD2EAA" w:rsidRPr="007D60B0" w:rsidRDefault="00BD2EAA" w:rsidP="00BD2EAA">
            <w:pPr>
              <w:jc w:val="right"/>
              <w:rPr>
                <w:rFonts w:ascii="Candara" w:hAnsi="Candara" w:cs="Arial"/>
                <w:b/>
                <w:bCs/>
              </w:rPr>
            </w:pPr>
            <w:r w:rsidRPr="007D60B0">
              <w:rPr>
                <w:rFonts w:ascii="Candara" w:hAnsi="Candara" w:cs="Arial"/>
                <w:b/>
                <w:bCs/>
              </w:rPr>
              <w:t>794</w:t>
            </w:r>
          </w:p>
        </w:tc>
        <w:tc>
          <w:tcPr>
            <w:tcW w:w="1638" w:type="dxa"/>
          </w:tcPr>
          <w:p w:rsidR="00BD2EAA" w:rsidRPr="007D60B0" w:rsidRDefault="00BD2EAA" w:rsidP="00BD2EAA">
            <w:pPr>
              <w:jc w:val="right"/>
              <w:rPr>
                <w:rFonts w:ascii="Candara" w:hAnsi="Candara"/>
              </w:rPr>
            </w:pPr>
            <w:r w:rsidRPr="007D60B0">
              <w:rPr>
                <w:rFonts w:ascii="Candara" w:hAnsi="Candara"/>
              </w:rPr>
              <w:t>49,0%</w:t>
            </w:r>
          </w:p>
        </w:tc>
        <w:tc>
          <w:tcPr>
            <w:tcW w:w="1638" w:type="dxa"/>
          </w:tcPr>
          <w:p w:rsidR="00BD2EAA" w:rsidRPr="007D60B0" w:rsidRDefault="00BD2EAA" w:rsidP="00BD2EAA">
            <w:pPr>
              <w:jc w:val="right"/>
              <w:rPr>
                <w:rFonts w:ascii="Candara" w:hAnsi="Candara" w:cs="Arial"/>
                <w:b/>
                <w:bCs/>
              </w:rPr>
            </w:pPr>
            <w:r w:rsidRPr="007D60B0">
              <w:rPr>
                <w:rFonts w:ascii="Candara" w:hAnsi="Candara" w:cs="Arial"/>
                <w:b/>
                <w:bCs/>
              </w:rPr>
              <w:t>110,2%</w:t>
            </w:r>
          </w:p>
        </w:tc>
      </w:tr>
      <w:tr w:rsidR="00BD2EAA" w:rsidRPr="000424B5" w:rsidTr="00BD2EAA">
        <w:trPr>
          <w:gridAfter w:val="1"/>
          <w:wAfter w:w="76" w:type="dxa"/>
        </w:trPr>
        <w:tc>
          <w:tcPr>
            <w:tcW w:w="2093" w:type="dxa"/>
          </w:tcPr>
          <w:p w:rsidR="00BD2EAA" w:rsidRPr="00BD2EAA" w:rsidRDefault="00BD2EAA" w:rsidP="00BD2EAA">
            <w:pPr>
              <w:jc w:val="both"/>
              <w:rPr>
                <w:rFonts w:ascii="Calibri" w:hAnsi="Calibri" w:cs="Tahoma"/>
                <w:b/>
                <w:bCs/>
                <w:sz w:val="22"/>
                <w:szCs w:val="22"/>
              </w:rPr>
            </w:pPr>
            <w:r w:rsidRPr="00BD2EAA">
              <w:rPr>
                <w:rFonts w:ascii="Calibri" w:hAnsi="Calibri" w:cs="Tahoma"/>
                <w:b/>
                <w:bCs/>
                <w:sz w:val="22"/>
                <w:szCs w:val="22"/>
              </w:rPr>
              <w:t>A. Autonómica</w:t>
            </w:r>
          </w:p>
        </w:tc>
        <w:tc>
          <w:tcPr>
            <w:tcW w:w="1638" w:type="dxa"/>
          </w:tcPr>
          <w:p w:rsidR="00BD2EAA" w:rsidRPr="007D60B0" w:rsidRDefault="00BD2EAA" w:rsidP="00BD2EAA">
            <w:pPr>
              <w:jc w:val="right"/>
              <w:rPr>
                <w:rFonts w:ascii="Candara" w:hAnsi="Candara" w:cs="Arial"/>
                <w:bCs/>
              </w:rPr>
            </w:pPr>
            <w:r w:rsidRPr="007D60B0">
              <w:rPr>
                <w:rFonts w:ascii="Candara" w:hAnsi="Candara" w:cs="Arial"/>
                <w:bCs/>
              </w:rPr>
              <w:t>800</w:t>
            </w:r>
          </w:p>
        </w:tc>
        <w:tc>
          <w:tcPr>
            <w:tcW w:w="1638" w:type="dxa"/>
          </w:tcPr>
          <w:p w:rsidR="00BD2EAA" w:rsidRPr="007D60B0" w:rsidRDefault="00BD2EAA" w:rsidP="00BD2EAA">
            <w:pPr>
              <w:jc w:val="right"/>
              <w:rPr>
                <w:rFonts w:ascii="Candara" w:hAnsi="Candara" w:cs="Arial"/>
                <w:b/>
                <w:bCs/>
              </w:rPr>
            </w:pPr>
            <w:r w:rsidRPr="007D60B0">
              <w:rPr>
                <w:rFonts w:ascii="Candara" w:hAnsi="Candara" w:cs="Arial"/>
                <w:b/>
                <w:bCs/>
              </w:rPr>
              <w:t>398</w:t>
            </w:r>
          </w:p>
        </w:tc>
        <w:tc>
          <w:tcPr>
            <w:tcW w:w="1638" w:type="dxa"/>
          </w:tcPr>
          <w:p w:rsidR="00BD2EAA" w:rsidRPr="007D60B0" w:rsidRDefault="00BD2EAA" w:rsidP="00BD2EAA">
            <w:pPr>
              <w:jc w:val="right"/>
              <w:rPr>
                <w:rFonts w:ascii="Candara" w:hAnsi="Candara"/>
              </w:rPr>
            </w:pPr>
            <w:r w:rsidRPr="007D60B0">
              <w:rPr>
                <w:rFonts w:ascii="Candara" w:hAnsi="Candara"/>
              </w:rPr>
              <w:t>24,6%</w:t>
            </w:r>
          </w:p>
        </w:tc>
        <w:tc>
          <w:tcPr>
            <w:tcW w:w="1638" w:type="dxa"/>
          </w:tcPr>
          <w:p w:rsidR="00BD2EAA" w:rsidRPr="007D60B0" w:rsidRDefault="00BD2EAA" w:rsidP="00BD2EAA">
            <w:pPr>
              <w:jc w:val="right"/>
              <w:rPr>
                <w:rFonts w:ascii="Candara" w:hAnsi="Candara" w:cs="Arial"/>
                <w:b/>
                <w:bCs/>
              </w:rPr>
            </w:pPr>
            <w:r w:rsidRPr="007D60B0">
              <w:rPr>
                <w:rFonts w:ascii="Candara" w:hAnsi="Candara" w:cs="Arial"/>
                <w:b/>
                <w:bCs/>
              </w:rPr>
              <w:t>-50,2%</w:t>
            </w:r>
          </w:p>
        </w:tc>
      </w:tr>
      <w:tr w:rsidR="00BD2EAA" w:rsidRPr="000424B5" w:rsidTr="00BD2EAA">
        <w:trPr>
          <w:gridAfter w:val="1"/>
          <w:wAfter w:w="76" w:type="dxa"/>
        </w:trPr>
        <w:tc>
          <w:tcPr>
            <w:tcW w:w="2093" w:type="dxa"/>
          </w:tcPr>
          <w:p w:rsidR="00BD2EAA" w:rsidRPr="00BD2EAA" w:rsidRDefault="00BD2EAA" w:rsidP="00BD2EAA">
            <w:pPr>
              <w:jc w:val="both"/>
              <w:rPr>
                <w:rFonts w:ascii="Calibri" w:hAnsi="Calibri" w:cs="Tahoma"/>
                <w:b/>
                <w:bCs/>
                <w:sz w:val="22"/>
                <w:szCs w:val="22"/>
              </w:rPr>
            </w:pPr>
            <w:r w:rsidRPr="00BD2EAA">
              <w:rPr>
                <w:rFonts w:ascii="Calibri" w:hAnsi="Calibri" w:cs="Tahoma"/>
                <w:b/>
                <w:bCs/>
                <w:sz w:val="22"/>
                <w:szCs w:val="22"/>
              </w:rPr>
              <w:t>A. Local</w:t>
            </w:r>
          </w:p>
        </w:tc>
        <w:tc>
          <w:tcPr>
            <w:tcW w:w="1638" w:type="dxa"/>
          </w:tcPr>
          <w:p w:rsidR="00BD2EAA" w:rsidRPr="007D60B0" w:rsidRDefault="00BD2EAA" w:rsidP="00BD2EAA">
            <w:pPr>
              <w:jc w:val="right"/>
              <w:rPr>
                <w:rFonts w:ascii="Candara" w:hAnsi="Candara" w:cs="Arial"/>
                <w:bCs/>
              </w:rPr>
            </w:pPr>
            <w:r w:rsidRPr="007D60B0">
              <w:rPr>
                <w:rFonts w:ascii="Candara" w:hAnsi="Candara" w:cs="Arial"/>
                <w:bCs/>
              </w:rPr>
              <w:t>570</w:t>
            </w:r>
          </w:p>
        </w:tc>
        <w:tc>
          <w:tcPr>
            <w:tcW w:w="1638" w:type="dxa"/>
          </w:tcPr>
          <w:p w:rsidR="00BD2EAA" w:rsidRPr="007D60B0" w:rsidRDefault="00BD2EAA" w:rsidP="00BD2EAA">
            <w:pPr>
              <w:jc w:val="right"/>
              <w:rPr>
                <w:rFonts w:ascii="Candara" w:hAnsi="Candara" w:cs="Arial"/>
                <w:b/>
                <w:bCs/>
              </w:rPr>
            </w:pPr>
            <w:r w:rsidRPr="007D60B0">
              <w:rPr>
                <w:rFonts w:ascii="Candara" w:hAnsi="Candara" w:cs="Arial"/>
                <w:b/>
                <w:bCs/>
              </w:rPr>
              <w:t>430</w:t>
            </w:r>
          </w:p>
        </w:tc>
        <w:tc>
          <w:tcPr>
            <w:tcW w:w="1638" w:type="dxa"/>
          </w:tcPr>
          <w:p w:rsidR="00BD2EAA" w:rsidRPr="007D60B0" w:rsidRDefault="00BD2EAA" w:rsidP="00BD2EAA">
            <w:pPr>
              <w:jc w:val="right"/>
              <w:rPr>
                <w:rFonts w:ascii="Candara" w:hAnsi="Candara"/>
              </w:rPr>
            </w:pPr>
            <w:r w:rsidRPr="007D60B0">
              <w:rPr>
                <w:rFonts w:ascii="Candara" w:hAnsi="Candara"/>
              </w:rPr>
              <w:t>26,5%</w:t>
            </w:r>
          </w:p>
        </w:tc>
        <w:tc>
          <w:tcPr>
            <w:tcW w:w="1638" w:type="dxa"/>
          </w:tcPr>
          <w:p w:rsidR="00BD2EAA" w:rsidRPr="007D60B0" w:rsidRDefault="00BD2EAA" w:rsidP="00BD2EAA">
            <w:pPr>
              <w:jc w:val="right"/>
              <w:rPr>
                <w:rFonts w:ascii="Candara" w:hAnsi="Candara" w:cs="Arial"/>
                <w:b/>
                <w:bCs/>
              </w:rPr>
            </w:pPr>
            <w:r w:rsidRPr="007D60B0">
              <w:rPr>
                <w:rFonts w:ascii="Candara" w:hAnsi="Candara" w:cs="Arial"/>
                <w:b/>
                <w:bCs/>
              </w:rPr>
              <w:t>-24,7%</w:t>
            </w:r>
          </w:p>
        </w:tc>
      </w:tr>
      <w:tr w:rsidR="00BD2EAA" w:rsidRPr="000424B5" w:rsidTr="00BD2EAA">
        <w:trPr>
          <w:gridAfter w:val="1"/>
          <w:wAfter w:w="76" w:type="dxa"/>
        </w:trPr>
        <w:tc>
          <w:tcPr>
            <w:tcW w:w="2093" w:type="dxa"/>
          </w:tcPr>
          <w:p w:rsidR="00BD2EAA" w:rsidRPr="00BD2EAA" w:rsidRDefault="00BD2EAA" w:rsidP="00BD2EAA">
            <w:pPr>
              <w:jc w:val="both"/>
              <w:rPr>
                <w:rFonts w:ascii="Calibri" w:hAnsi="Calibri" w:cs="Tahoma"/>
                <w:b/>
                <w:bCs/>
                <w:sz w:val="22"/>
                <w:szCs w:val="22"/>
              </w:rPr>
            </w:pPr>
            <w:r w:rsidRPr="00BD2EAA">
              <w:rPr>
                <w:rFonts w:ascii="Calibri" w:hAnsi="Calibri" w:cs="Tahoma"/>
                <w:b/>
                <w:bCs/>
                <w:sz w:val="22"/>
                <w:szCs w:val="22"/>
              </w:rPr>
              <w:t>Total</w:t>
            </w:r>
          </w:p>
        </w:tc>
        <w:tc>
          <w:tcPr>
            <w:tcW w:w="1638" w:type="dxa"/>
          </w:tcPr>
          <w:p w:rsidR="00BD2EAA" w:rsidRPr="007D60B0" w:rsidRDefault="00BD2EAA" w:rsidP="00BD2EAA">
            <w:pPr>
              <w:jc w:val="right"/>
              <w:rPr>
                <w:rFonts w:ascii="Candara" w:hAnsi="Candara" w:cs="Arial"/>
                <w:b/>
                <w:bCs/>
              </w:rPr>
            </w:pPr>
            <w:r w:rsidRPr="007D60B0">
              <w:rPr>
                <w:rFonts w:ascii="Candara" w:hAnsi="Candara" w:cs="Arial"/>
                <w:bCs/>
              </w:rPr>
              <w:t>1.748</w:t>
            </w:r>
          </w:p>
        </w:tc>
        <w:tc>
          <w:tcPr>
            <w:tcW w:w="1638" w:type="dxa"/>
          </w:tcPr>
          <w:p w:rsidR="00BD2EAA" w:rsidRPr="007D60B0" w:rsidRDefault="00BD2EAA" w:rsidP="00BD2EAA">
            <w:pPr>
              <w:jc w:val="right"/>
              <w:rPr>
                <w:rFonts w:ascii="Candara" w:hAnsi="Candara" w:cs="Arial"/>
                <w:b/>
                <w:bCs/>
              </w:rPr>
            </w:pPr>
            <w:r w:rsidRPr="007D60B0">
              <w:rPr>
                <w:rFonts w:ascii="Candara" w:hAnsi="Candara" w:cs="Arial"/>
                <w:b/>
              </w:rPr>
              <w:t>1.622</w:t>
            </w:r>
          </w:p>
        </w:tc>
        <w:tc>
          <w:tcPr>
            <w:tcW w:w="1638" w:type="dxa"/>
          </w:tcPr>
          <w:p w:rsidR="00BD2EAA" w:rsidRPr="007D60B0" w:rsidRDefault="00BD2EAA" w:rsidP="00BD2EAA">
            <w:pPr>
              <w:jc w:val="right"/>
              <w:rPr>
                <w:rFonts w:ascii="Candara" w:hAnsi="Candara"/>
                <w:b/>
                <w:bCs/>
              </w:rPr>
            </w:pPr>
            <w:r w:rsidRPr="007D60B0">
              <w:rPr>
                <w:rFonts w:ascii="Candara" w:hAnsi="Candara"/>
                <w:b/>
                <w:bCs/>
              </w:rPr>
              <w:t>100,0%</w:t>
            </w:r>
          </w:p>
        </w:tc>
        <w:tc>
          <w:tcPr>
            <w:tcW w:w="1638" w:type="dxa"/>
          </w:tcPr>
          <w:p w:rsidR="00BD2EAA" w:rsidRPr="007D60B0" w:rsidRDefault="00BD2EAA" w:rsidP="00BD2EAA">
            <w:pPr>
              <w:jc w:val="right"/>
              <w:rPr>
                <w:rFonts w:ascii="Candara" w:hAnsi="Candara" w:cs="Arial"/>
                <w:b/>
                <w:bCs/>
              </w:rPr>
            </w:pPr>
            <w:r w:rsidRPr="007D60B0">
              <w:rPr>
                <w:rFonts w:ascii="Candara" w:hAnsi="Candara" w:cs="Arial"/>
                <w:b/>
                <w:bCs/>
              </w:rPr>
              <w:t>-7,2%</w:t>
            </w:r>
          </w:p>
        </w:tc>
      </w:tr>
      <w:tr w:rsidR="00BD2EAA" w:rsidRPr="000424B5" w:rsidTr="00BD2EAA">
        <w:trPr>
          <w:trHeight w:val="20"/>
        </w:trPr>
        <w:tc>
          <w:tcPr>
            <w:tcW w:w="8721" w:type="dxa"/>
            <w:gridSpan w:val="6"/>
            <w:noWrap/>
          </w:tcPr>
          <w:p w:rsidR="00BD2EAA" w:rsidRPr="007D60B0" w:rsidRDefault="00BD2EAA" w:rsidP="00312EB3">
            <w:pPr>
              <w:rPr>
                <w:rFonts w:ascii="Candara" w:hAnsi="Candara"/>
                <w:b/>
                <w:bCs/>
              </w:rPr>
            </w:pPr>
            <w:r w:rsidRPr="007D60B0">
              <w:rPr>
                <w:rFonts w:ascii="Candara" w:hAnsi="Candara"/>
                <w:b/>
                <w:bCs/>
              </w:rPr>
              <w:t>Fuente: SEOPAN</w:t>
            </w:r>
          </w:p>
        </w:tc>
      </w:tr>
    </w:tbl>
    <w:p w:rsidR="000D69C5" w:rsidRDefault="000D69C5" w:rsidP="000D69C5">
      <w:pPr>
        <w:spacing w:before="120"/>
        <w:ind w:left="360"/>
        <w:jc w:val="both"/>
        <w:rPr>
          <w:rFonts w:ascii="Candara" w:hAnsi="Candara" w:cs="Tahoma"/>
          <w:bCs/>
        </w:rPr>
      </w:pPr>
    </w:p>
    <w:p w:rsidR="007D60B0" w:rsidRPr="000D69C5" w:rsidRDefault="00BD2EAA" w:rsidP="000D69C5">
      <w:pPr>
        <w:numPr>
          <w:ilvl w:val="0"/>
          <w:numId w:val="13"/>
        </w:numPr>
        <w:spacing w:before="120"/>
        <w:jc w:val="both"/>
        <w:rPr>
          <w:rFonts w:ascii="Candara" w:hAnsi="Candara" w:cs="Tahoma"/>
          <w:bCs/>
        </w:rPr>
      </w:pPr>
      <w:r w:rsidRPr="007D60B0">
        <w:rPr>
          <w:rFonts w:ascii="Candara" w:hAnsi="Candara" w:cs="Tahoma"/>
          <w:bCs/>
        </w:rPr>
        <w:t>Licitación pública por tipo de obra (enero – marzo de 2013): Edificación 458 M€ (5,3%) y Obra civil 1.163M€ (-11,4%).</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tblPr>
      <w:tblGrid>
        <w:gridCol w:w="3624"/>
        <w:gridCol w:w="2549"/>
        <w:gridCol w:w="2582"/>
      </w:tblGrid>
      <w:tr w:rsidR="00BD2EAA" w:rsidRPr="000424B5" w:rsidTr="00BD2EAA">
        <w:tc>
          <w:tcPr>
            <w:tcW w:w="8755" w:type="dxa"/>
            <w:gridSpan w:val="3"/>
          </w:tcPr>
          <w:p w:rsidR="00BD2EAA" w:rsidRPr="000D69C5" w:rsidRDefault="00BD2EAA" w:rsidP="00BD2EAA">
            <w:pPr>
              <w:jc w:val="center"/>
              <w:rPr>
                <w:rFonts w:ascii="Candara" w:hAnsi="Candara" w:cs="Tahoma"/>
                <w:b/>
                <w:bCs/>
                <w:sz w:val="22"/>
                <w:szCs w:val="22"/>
              </w:rPr>
            </w:pPr>
            <w:r w:rsidRPr="000D69C5">
              <w:rPr>
                <w:rFonts w:ascii="Candara" w:hAnsi="Candara" w:cs="Tahoma"/>
                <w:b/>
                <w:bCs/>
                <w:sz w:val="22"/>
                <w:szCs w:val="22"/>
              </w:rPr>
              <w:lastRenderedPageBreak/>
              <w:t>LICITACIÓN EN CONSTRUCCIÓN POR TIPO DE OBRA</w:t>
            </w:r>
          </w:p>
          <w:p w:rsidR="00BD2EAA" w:rsidRPr="000D69C5" w:rsidRDefault="00BD2EAA" w:rsidP="00BD2EAA">
            <w:pPr>
              <w:jc w:val="center"/>
              <w:rPr>
                <w:rFonts w:ascii="Candara" w:hAnsi="Candara" w:cs="Tahoma"/>
                <w:b/>
                <w:bCs/>
                <w:sz w:val="22"/>
                <w:szCs w:val="22"/>
              </w:rPr>
            </w:pPr>
            <w:r w:rsidRPr="000D69C5">
              <w:rPr>
                <w:rFonts w:ascii="Candara" w:hAnsi="Candara" w:cs="Tahoma"/>
                <w:b/>
                <w:bCs/>
                <w:sz w:val="22"/>
                <w:szCs w:val="22"/>
              </w:rPr>
              <w:t>(Enero - Marzo) 2013/2012 - Millones de Euros</w:t>
            </w:r>
          </w:p>
        </w:tc>
      </w:tr>
      <w:tr w:rsidR="00BD2EAA" w:rsidRPr="000424B5" w:rsidTr="00BD2EAA">
        <w:trPr>
          <w:trHeight w:val="280"/>
        </w:trPr>
        <w:tc>
          <w:tcPr>
            <w:tcW w:w="3624" w:type="dxa"/>
            <w:noWrap/>
          </w:tcPr>
          <w:p w:rsidR="00BD2EAA" w:rsidRPr="000D69C5" w:rsidRDefault="00BD2EAA" w:rsidP="00312EB3">
            <w:pPr>
              <w:rPr>
                <w:rFonts w:ascii="Candara" w:hAnsi="Candara"/>
                <w:bCs/>
                <w:sz w:val="22"/>
                <w:szCs w:val="22"/>
              </w:rPr>
            </w:pPr>
          </w:p>
        </w:tc>
        <w:tc>
          <w:tcPr>
            <w:tcW w:w="2549" w:type="dxa"/>
            <w:noWrap/>
          </w:tcPr>
          <w:p w:rsidR="00BD2EAA" w:rsidRPr="000D69C5" w:rsidRDefault="00BD2EAA" w:rsidP="00BD2EAA">
            <w:pPr>
              <w:jc w:val="center"/>
              <w:rPr>
                <w:rFonts w:ascii="Candara" w:hAnsi="Candara"/>
                <w:b/>
                <w:sz w:val="22"/>
                <w:szCs w:val="22"/>
              </w:rPr>
            </w:pPr>
            <w:r w:rsidRPr="000D69C5">
              <w:rPr>
                <w:rFonts w:ascii="Candara" w:hAnsi="Candara"/>
                <w:b/>
                <w:sz w:val="22"/>
                <w:szCs w:val="22"/>
              </w:rPr>
              <w:t>2013</w:t>
            </w:r>
          </w:p>
        </w:tc>
        <w:tc>
          <w:tcPr>
            <w:tcW w:w="2582" w:type="dxa"/>
            <w:noWrap/>
          </w:tcPr>
          <w:p w:rsidR="00BD2EAA" w:rsidRPr="000D69C5" w:rsidRDefault="00BD2EAA" w:rsidP="00BD2EAA">
            <w:pPr>
              <w:jc w:val="center"/>
              <w:rPr>
                <w:rFonts w:ascii="Candara" w:hAnsi="Candara"/>
                <w:b/>
                <w:sz w:val="22"/>
                <w:szCs w:val="22"/>
              </w:rPr>
            </w:pPr>
            <w:r w:rsidRPr="000D69C5">
              <w:rPr>
                <w:rFonts w:ascii="Candara" w:hAnsi="Candara"/>
                <w:b/>
                <w:sz w:val="22"/>
                <w:szCs w:val="22"/>
              </w:rPr>
              <w:t>2013/2012</w:t>
            </w:r>
          </w:p>
          <w:p w:rsidR="00BD2EAA" w:rsidRPr="000D69C5" w:rsidRDefault="00BD2EAA" w:rsidP="00BD2EAA">
            <w:pPr>
              <w:jc w:val="center"/>
              <w:rPr>
                <w:rFonts w:ascii="Candara" w:hAnsi="Candara"/>
                <w:b/>
                <w:sz w:val="22"/>
                <w:szCs w:val="22"/>
              </w:rPr>
            </w:pPr>
            <w:r w:rsidRPr="000D69C5">
              <w:rPr>
                <w:rFonts w:ascii="Candara" w:hAnsi="Candara"/>
                <w:b/>
                <w:sz w:val="22"/>
                <w:szCs w:val="22"/>
              </w:rPr>
              <w:t>(%)</w:t>
            </w:r>
          </w:p>
        </w:tc>
      </w:tr>
      <w:tr w:rsidR="00BD2EAA" w:rsidRPr="000424B5" w:rsidTr="00BD2EAA">
        <w:trPr>
          <w:trHeight w:val="280"/>
        </w:trPr>
        <w:tc>
          <w:tcPr>
            <w:tcW w:w="3624" w:type="dxa"/>
            <w:noWrap/>
            <w:hideMark/>
          </w:tcPr>
          <w:p w:rsidR="00BD2EAA" w:rsidRPr="000D69C5" w:rsidRDefault="00BD2EAA" w:rsidP="00312EB3">
            <w:pPr>
              <w:rPr>
                <w:rFonts w:ascii="Candara" w:hAnsi="Candara"/>
                <w:b/>
                <w:bCs/>
                <w:sz w:val="22"/>
                <w:szCs w:val="22"/>
              </w:rPr>
            </w:pPr>
            <w:r w:rsidRPr="000D69C5">
              <w:rPr>
                <w:rFonts w:ascii="Candara" w:hAnsi="Candara"/>
                <w:bCs/>
                <w:sz w:val="22"/>
                <w:szCs w:val="22"/>
              </w:rPr>
              <w:t>Vivienda</w:t>
            </w:r>
          </w:p>
        </w:tc>
        <w:tc>
          <w:tcPr>
            <w:tcW w:w="2549" w:type="dxa"/>
            <w:noWrap/>
            <w:hideMark/>
          </w:tcPr>
          <w:p w:rsidR="00BD2EAA" w:rsidRPr="000D69C5" w:rsidRDefault="00BD2EAA" w:rsidP="00BD2EAA">
            <w:pPr>
              <w:jc w:val="right"/>
              <w:rPr>
                <w:rFonts w:ascii="Candara" w:hAnsi="Candara"/>
                <w:sz w:val="22"/>
                <w:szCs w:val="22"/>
              </w:rPr>
            </w:pPr>
            <w:r w:rsidRPr="000D69C5">
              <w:rPr>
                <w:rFonts w:ascii="Candara" w:hAnsi="Candara"/>
                <w:sz w:val="22"/>
                <w:szCs w:val="22"/>
              </w:rPr>
              <w:t>76</w:t>
            </w:r>
          </w:p>
        </w:tc>
        <w:tc>
          <w:tcPr>
            <w:tcW w:w="2582" w:type="dxa"/>
            <w:noWrap/>
            <w:hideMark/>
          </w:tcPr>
          <w:p w:rsidR="00BD2EAA" w:rsidRPr="000D69C5" w:rsidRDefault="00BD2EAA" w:rsidP="00BD2EAA">
            <w:pPr>
              <w:jc w:val="right"/>
              <w:rPr>
                <w:rFonts w:ascii="Candara" w:hAnsi="Candara"/>
                <w:sz w:val="22"/>
                <w:szCs w:val="22"/>
              </w:rPr>
            </w:pPr>
            <w:r w:rsidRPr="000D69C5">
              <w:rPr>
                <w:rFonts w:ascii="Candara" w:hAnsi="Candara"/>
                <w:sz w:val="22"/>
                <w:szCs w:val="22"/>
              </w:rPr>
              <w:t>62,3%</w:t>
            </w:r>
          </w:p>
        </w:tc>
      </w:tr>
      <w:tr w:rsidR="00BD2EAA" w:rsidRPr="000424B5" w:rsidTr="00BD2EAA">
        <w:trPr>
          <w:trHeight w:val="280"/>
        </w:trPr>
        <w:tc>
          <w:tcPr>
            <w:tcW w:w="3624" w:type="dxa"/>
            <w:noWrap/>
            <w:hideMark/>
          </w:tcPr>
          <w:p w:rsidR="00BD2EAA" w:rsidRPr="000D69C5" w:rsidRDefault="00BD2EAA" w:rsidP="00312EB3">
            <w:pPr>
              <w:rPr>
                <w:rFonts w:ascii="Candara" w:hAnsi="Candara"/>
                <w:b/>
                <w:bCs/>
                <w:sz w:val="22"/>
                <w:szCs w:val="22"/>
              </w:rPr>
            </w:pPr>
            <w:r w:rsidRPr="000D69C5">
              <w:rPr>
                <w:rFonts w:ascii="Candara" w:hAnsi="Candara"/>
                <w:bCs/>
                <w:sz w:val="22"/>
                <w:szCs w:val="22"/>
              </w:rPr>
              <w:t>Equipamiento Social</w:t>
            </w:r>
          </w:p>
        </w:tc>
        <w:tc>
          <w:tcPr>
            <w:tcW w:w="2549" w:type="dxa"/>
            <w:noWrap/>
            <w:hideMark/>
          </w:tcPr>
          <w:p w:rsidR="00BD2EAA" w:rsidRPr="000D69C5" w:rsidRDefault="00BD2EAA" w:rsidP="00BD2EAA">
            <w:pPr>
              <w:jc w:val="right"/>
              <w:rPr>
                <w:rFonts w:ascii="Candara" w:hAnsi="Candara"/>
                <w:sz w:val="22"/>
                <w:szCs w:val="22"/>
              </w:rPr>
            </w:pPr>
            <w:r w:rsidRPr="000D69C5">
              <w:rPr>
                <w:rFonts w:ascii="Candara" w:hAnsi="Candara"/>
                <w:sz w:val="22"/>
                <w:szCs w:val="22"/>
              </w:rPr>
              <w:t>319</w:t>
            </w:r>
          </w:p>
        </w:tc>
        <w:tc>
          <w:tcPr>
            <w:tcW w:w="2582" w:type="dxa"/>
            <w:noWrap/>
            <w:hideMark/>
          </w:tcPr>
          <w:p w:rsidR="00BD2EAA" w:rsidRPr="000D69C5" w:rsidRDefault="00BD2EAA" w:rsidP="00BD2EAA">
            <w:pPr>
              <w:jc w:val="right"/>
              <w:rPr>
                <w:rFonts w:ascii="Candara" w:hAnsi="Candara"/>
                <w:sz w:val="22"/>
                <w:szCs w:val="22"/>
              </w:rPr>
            </w:pPr>
            <w:r w:rsidRPr="000D69C5">
              <w:rPr>
                <w:rFonts w:ascii="Candara" w:hAnsi="Candara"/>
                <w:sz w:val="22"/>
                <w:szCs w:val="22"/>
              </w:rPr>
              <w:t>-5,4%</w:t>
            </w:r>
          </w:p>
        </w:tc>
      </w:tr>
      <w:tr w:rsidR="00BD2EAA" w:rsidRPr="000424B5" w:rsidTr="00BD2EAA">
        <w:trPr>
          <w:trHeight w:val="280"/>
        </w:trPr>
        <w:tc>
          <w:tcPr>
            <w:tcW w:w="3624" w:type="dxa"/>
            <w:noWrap/>
            <w:hideMark/>
          </w:tcPr>
          <w:p w:rsidR="00BD2EAA" w:rsidRPr="000D69C5" w:rsidRDefault="00BD2EAA" w:rsidP="00312EB3">
            <w:pPr>
              <w:rPr>
                <w:rFonts w:ascii="Candara" w:hAnsi="Candara"/>
                <w:b/>
                <w:bCs/>
                <w:sz w:val="22"/>
                <w:szCs w:val="22"/>
              </w:rPr>
            </w:pPr>
            <w:r w:rsidRPr="000D69C5">
              <w:rPr>
                <w:rFonts w:ascii="Candara" w:hAnsi="Candara"/>
                <w:bCs/>
                <w:sz w:val="22"/>
                <w:szCs w:val="22"/>
              </w:rPr>
              <w:t>Resto Edificación</w:t>
            </w:r>
          </w:p>
        </w:tc>
        <w:tc>
          <w:tcPr>
            <w:tcW w:w="2549" w:type="dxa"/>
            <w:noWrap/>
            <w:hideMark/>
          </w:tcPr>
          <w:p w:rsidR="00BD2EAA" w:rsidRPr="000D69C5" w:rsidRDefault="00BD2EAA" w:rsidP="00BD2EAA">
            <w:pPr>
              <w:jc w:val="right"/>
              <w:rPr>
                <w:rFonts w:ascii="Candara" w:hAnsi="Candara"/>
                <w:sz w:val="22"/>
                <w:szCs w:val="22"/>
              </w:rPr>
            </w:pPr>
            <w:r w:rsidRPr="000D69C5">
              <w:rPr>
                <w:rFonts w:ascii="Candara" w:hAnsi="Candara"/>
                <w:sz w:val="22"/>
                <w:szCs w:val="22"/>
              </w:rPr>
              <w:t>63</w:t>
            </w:r>
          </w:p>
        </w:tc>
        <w:tc>
          <w:tcPr>
            <w:tcW w:w="2582" w:type="dxa"/>
            <w:noWrap/>
            <w:hideMark/>
          </w:tcPr>
          <w:p w:rsidR="00BD2EAA" w:rsidRPr="000D69C5" w:rsidRDefault="00BD2EAA" w:rsidP="00BD2EAA">
            <w:pPr>
              <w:jc w:val="right"/>
              <w:rPr>
                <w:rFonts w:ascii="Candara" w:hAnsi="Candara"/>
                <w:sz w:val="22"/>
                <w:szCs w:val="22"/>
              </w:rPr>
            </w:pPr>
            <w:r w:rsidRPr="000D69C5">
              <w:rPr>
                <w:rFonts w:ascii="Candara" w:hAnsi="Candara"/>
                <w:sz w:val="22"/>
                <w:szCs w:val="22"/>
              </w:rPr>
              <w:t>24,7%</w:t>
            </w:r>
          </w:p>
        </w:tc>
      </w:tr>
      <w:tr w:rsidR="00BD2EAA" w:rsidRPr="000424B5" w:rsidTr="00BD2EAA">
        <w:trPr>
          <w:trHeight w:val="280"/>
        </w:trPr>
        <w:tc>
          <w:tcPr>
            <w:tcW w:w="3624" w:type="dxa"/>
            <w:noWrap/>
            <w:hideMark/>
          </w:tcPr>
          <w:p w:rsidR="00BD2EAA" w:rsidRPr="000D69C5" w:rsidRDefault="00BD2EAA" w:rsidP="00312EB3">
            <w:pPr>
              <w:rPr>
                <w:rFonts w:ascii="Candara" w:hAnsi="Candara"/>
                <w:b/>
                <w:bCs/>
                <w:sz w:val="22"/>
                <w:szCs w:val="22"/>
              </w:rPr>
            </w:pPr>
            <w:r w:rsidRPr="000D69C5">
              <w:rPr>
                <w:rFonts w:ascii="Candara" w:hAnsi="Candara"/>
                <w:b/>
                <w:bCs/>
                <w:sz w:val="22"/>
                <w:szCs w:val="22"/>
              </w:rPr>
              <w:t>Total Edificación</w:t>
            </w:r>
          </w:p>
        </w:tc>
        <w:tc>
          <w:tcPr>
            <w:tcW w:w="2549" w:type="dxa"/>
            <w:noWrap/>
            <w:hideMark/>
          </w:tcPr>
          <w:p w:rsidR="00BD2EAA" w:rsidRPr="000D69C5" w:rsidRDefault="00BD2EAA" w:rsidP="00BD2EAA">
            <w:pPr>
              <w:jc w:val="right"/>
              <w:rPr>
                <w:rFonts w:ascii="Candara" w:hAnsi="Candara"/>
                <w:b/>
                <w:sz w:val="22"/>
                <w:szCs w:val="22"/>
              </w:rPr>
            </w:pPr>
            <w:r w:rsidRPr="000D69C5">
              <w:rPr>
                <w:rFonts w:ascii="Candara" w:hAnsi="Candara"/>
                <w:b/>
                <w:sz w:val="22"/>
                <w:szCs w:val="22"/>
              </w:rPr>
              <w:t>458</w:t>
            </w:r>
          </w:p>
        </w:tc>
        <w:tc>
          <w:tcPr>
            <w:tcW w:w="2582" w:type="dxa"/>
            <w:noWrap/>
            <w:hideMark/>
          </w:tcPr>
          <w:p w:rsidR="00BD2EAA" w:rsidRPr="000D69C5" w:rsidRDefault="00BD2EAA" w:rsidP="00BD2EAA">
            <w:pPr>
              <w:jc w:val="right"/>
              <w:rPr>
                <w:rFonts w:ascii="Candara" w:hAnsi="Candara"/>
                <w:b/>
                <w:sz w:val="22"/>
                <w:szCs w:val="22"/>
              </w:rPr>
            </w:pPr>
            <w:r w:rsidRPr="000D69C5">
              <w:rPr>
                <w:rFonts w:ascii="Candara" w:hAnsi="Candara"/>
                <w:b/>
                <w:sz w:val="22"/>
                <w:szCs w:val="22"/>
              </w:rPr>
              <w:t>-5,3%</w:t>
            </w:r>
          </w:p>
        </w:tc>
      </w:tr>
      <w:tr w:rsidR="00BD2EAA" w:rsidRPr="000424B5" w:rsidTr="00BD2EAA">
        <w:trPr>
          <w:trHeight w:val="280"/>
        </w:trPr>
        <w:tc>
          <w:tcPr>
            <w:tcW w:w="3624" w:type="dxa"/>
            <w:noWrap/>
            <w:hideMark/>
          </w:tcPr>
          <w:p w:rsidR="00BD2EAA" w:rsidRPr="000D69C5" w:rsidRDefault="00BD2EAA" w:rsidP="00312EB3">
            <w:pPr>
              <w:rPr>
                <w:rFonts w:ascii="Candara" w:hAnsi="Candara"/>
                <w:b/>
                <w:bCs/>
                <w:sz w:val="22"/>
                <w:szCs w:val="22"/>
              </w:rPr>
            </w:pPr>
            <w:r w:rsidRPr="000D69C5">
              <w:rPr>
                <w:rFonts w:ascii="Candara" w:hAnsi="Candara"/>
                <w:bCs/>
                <w:sz w:val="22"/>
                <w:szCs w:val="22"/>
              </w:rPr>
              <w:t>Carreteras</w:t>
            </w:r>
          </w:p>
        </w:tc>
        <w:tc>
          <w:tcPr>
            <w:tcW w:w="2549" w:type="dxa"/>
            <w:noWrap/>
            <w:hideMark/>
          </w:tcPr>
          <w:p w:rsidR="00BD2EAA" w:rsidRPr="000D69C5" w:rsidRDefault="00BD2EAA" w:rsidP="00BD2EAA">
            <w:pPr>
              <w:jc w:val="right"/>
              <w:rPr>
                <w:rFonts w:ascii="Candara" w:hAnsi="Candara"/>
                <w:sz w:val="22"/>
                <w:szCs w:val="22"/>
              </w:rPr>
            </w:pPr>
            <w:r w:rsidRPr="000D69C5">
              <w:rPr>
                <w:rFonts w:ascii="Candara" w:hAnsi="Candara"/>
                <w:sz w:val="22"/>
                <w:szCs w:val="22"/>
              </w:rPr>
              <w:t>148</w:t>
            </w:r>
          </w:p>
        </w:tc>
        <w:tc>
          <w:tcPr>
            <w:tcW w:w="2582" w:type="dxa"/>
            <w:noWrap/>
            <w:hideMark/>
          </w:tcPr>
          <w:p w:rsidR="00BD2EAA" w:rsidRPr="000D69C5" w:rsidRDefault="00BD2EAA" w:rsidP="00BD2EAA">
            <w:pPr>
              <w:jc w:val="right"/>
              <w:rPr>
                <w:rFonts w:ascii="Candara" w:hAnsi="Candara"/>
                <w:sz w:val="22"/>
                <w:szCs w:val="22"/>
              </w:rPr>
            </w:pPr>
            <w:r w:rsidRPr="000D69C5">
              <w:rPr>
                <w:rFonts w:ascii="Candara" w:hAnsi="Candara"/>
                <w:sz w:val="22"/>
                <w:szCs w:val="22"/>
              </w:rPr>
              <w:t>-62,9%</w:t>
            </w:r>
          </w:p>
        </w:tc>
      </w:tr>
      <w:tr w:rsidR="00BD2EAA" w:rsidRPr="000424B5" w:rsidTr="00BD2EAA">
        <w:trPr>
          <w:trHeight w:val="280"/>
        </w:trPr>
        <w:tc>
          <w:tcPr>
            <w:tcW w:w="3624" w:type="dxa"/>
            <w:noWrap/>
            <w:hideMark/>
          </w:tcPr>
          <w:p w:rsidR="00BD2EAA" w:rsidRPr="000D69C5" w:rsidRDefault="00BD2EAA" w:rsidP="00312EB3">
            <w:pPr>
              <w:rPr>
                <w:rFonts w:ascii="Candara" w:hAnsi="Candara"/>
                <w:b/>
                <w:bCs/>
                <w:sz w:val="22"/>
                <w:szCs w:val="22"/>
              </w:rPr>
            </w:pPr>
            <w:r w:rsidRPr="000D69C5">
              <w:rPr>
                <w:rFonts w:ascii="Candara" w:hAnsi="Candara"/>
                <w:bCs/>
                <w:sz w:val="22"/>
                <w:szCs w:val="22"/>
              </w:rPr>
              <w:t>Ferrocarriles</w:t>
            </w:r>
          </w:p>
        </w:tc>
        <w:tc>
          <w:tcPr>
            <w:tcW w:w="2549" w:type="dxa"/>
            <w:noWrap/>
            <w:hideMark/>
          </w:tcPr>
          <w:p w:rsidR="00BD2EAA" w:rsidRPr="000D69C5" w:rsidRDefault="00BD2EAA" w:rsidP="00BD2EAA">
            <w:pPr>
              <w:jc w:val="right"/>
              <w:rPr>
                <w:rFonts w:ascii="Candara" w:hAnsi="Candara"/>
                <w:sz w:val="22"/>
                <w:szCs w:val="22"/>
              </w:rPr>
            </w:pPr>
            <w:r w:rsidRPr="000D69C5">
              <w:rPr>
                <w:rFonts w:ascii="Candara" w:hAnsi="Candara"/>
                <w:sz w:val="22"/>
                <w:szCs w:val="22"/>
              </w:rPr>
              <w:t>396</w:t>
            </w:r>
          </w:p>
        </w:tc>
        <w:tc>
          <w:tcPr>
            <w:tcW w:w="2582" w:type="dxa"/>
            <w:noWrap/>
            <w:hideMark/>
          </w:tcPr>
          <w:p w:rsidR="00BD2EAA" w:rsidRPr="000D69C5" w:rsidRDefault="00BD2EAA" w:rsidP="00BD2EAA">
            <w:pPr>
              <w:jc w:val="right"/>
              <w:rPr>
                <w:rFonts w:ascii="Candara" w:hAnsi="Candara"/>
                <w:sz w:val="22"/>
                <w:szCs w:val="22"/>
              </w:rPr>
            </w:pPr>
            <w:r w:rsidRPr="000D69C5">
              <w:rPr>
                <w:rFonts w:ascii="Candara" w:hAnsi="Candara"/>
                <w:sz w:val="22"/>
                <w:szCs w:val="22"/>
              </w:rPr>
              <w:t>3,9%</w:t>
            </w:r>
          </w:p>
        </w:tc>
      </w:tr>
      <w:tr w:rsidR="00BD2EAA" w:rsidRPr="000424B5" w:rsidTr="00BD2EAA">
        <w:trPr>
          <w:trHeight w:val="280"/>
        </w:trPr>
        <w:tc>
          <w:tcPr>
            <w:tcW w:w="3624" w:type="dxa"/>
            <w:noWrap/>
            <w:hideMark/>
          </w:tcPr>
          <w:p w:rsidR="00BD2EAA" w:rsidRPr="000D69C5" w:rsidRDefault="00BD2EAA" w:rsidP="00312EB3">
            <w:pPr>
              <w:rPr>
                <w:rFonts w:ascii="Candara" w:hAnsi="Candara"/>
                <w:b/>
                <w:bCs/>
                <w:sz w:val="22"/>
                <w:szCs w:val="22"/>
              </w:rPr>
            </w:pPr>
            <w:r w:rsidRPr="000D69C5">
              <w:rPr>
                <w:rFonts w:ascii="Candara" w:hAnsi="Candara"/>
                <w:bCs/>
                <w:sz w:val="22"/>
                <w:szCs w:val="22"/>
              </w:rPr>
              <w:t>Puertos</w:t>
            </w:r>
          </w:p>
        </w:tc>
        <w:tc>
          <w:tcPr>
            <w:tcW w:w="2549" w:type="dxa"/>
            <w:noWrap/>
            <w:hideMark/>
          </w:tcPr>
          <w:p w:rsidR="00BD2EAA" w:rsidRPr="000D69C5" w:rsidRDefault="00BD2EAA" w:rsidP="00BD2EAA">
            <w:pPr>
              <w:jc w:val="right"/>
              <w:rPr>
                <w:rFonts w:ascii="Candara" w:hAnsi="Candara"/>
                <w:sz w:val="22"/>
                <w:szCs w:val="22"/>
              </w:rPr>
            </w:pPr>
            <w:r w:rsidRPr="000D69C5">
              <w:rPr>
                <w:rFonts w:ascii="Candara" w:hAnsi="Candara"/>
                <w:sz w:val="22"/>
                <w:szCs w:val="22"/>
              </w:rPr>
              <w:t>76</w:t>
            </w:r>
          </w:p>
        </w:tc>
        <w:tc>
          <w:tcPr>
            <w:tcW w:w="2582" w:type="dxa"/>
            <w:noWrap/>
            <w:hideMark/>
          </w:tcPr>
          <w:p w:rsidR="00BD2EAA" w:rsidRPr="000D69C5" w:rsidRDefault="00BD2EAA" w:rsidP="00BD2EAA">
            <w:pPr>
              <w:jc w:val="right"/>
              <w:rPr>
                <w:rFonts w:ascii="Candara" w:hAnsi="Candara"/>
                <w:sz w:val="22"/>
                <w:szCs w:val="22"/>
              </w:rPr>
            </w:pPr>
            <w:r w:rsidRPr="000D69C5">
              <w:rPr>
                <w:rFonts w:ascii="Candara" w:hAnsi="Candara"/>
                <w:sz w:val="22"/>
                <w:szCs w:val="22"/>
              </w:rPr>
              <w:t>25,7%</w:t>
            </w:r>
          </w:p>
        </w:tc>
      </w:tr>
      <w:tr w:rsidR="00BD2EAA" w:rsidRPr="000424B5" w:rsidTr="00BD2EAA">
        <w:trPr>
          <w:trHeight w:val="280"/>
        </w:trPr>
        <w:tc>
          <w:tcPr>
            <w:tcW w:w="3624" w:type="dxa"/>
            <w:noWrap/>
            <w:hideMark/>
          </w:tcPr>
          <w:p w:rsidR="00BD2EAA" w:rsidRPr="000D69C5" w:rsidRDefault="00BD2EAA" w:rsidP="00312EB3">
            <w:pPr>
              <w:rPr>
                <w:rFonts w:ascii="Candara" w:hAnsi="Candara"/>
                <w:b/>
                <w:bCs/>
                <w:sz w:val="22"/>
                <w:szCs w:val="22"/>
              </w:rPr>
            </w:pPr>
            <w:r w:rsidRPr="000D69C5">
              <w:rPr>
                <w:rFonts w:ascii="Candara" w:hAnsi="Candara"/>
                <w:b/>
                <w:bCs/>
                <w:sz w:val="22"/>
                <w:szCs w:val="22"/>
              </w:rPr>
              <w:t>Total Transportes</w:t>
            </w:r>
          </w:p>
        </w:tc>
        <w:tc>
          <w:tcPr>
            <w:tcW w:w="2549" w:type="dxa"/>
            <w:noWrap/>
            <w:hideMark/>
          </w:tcPr>
          <w:p w:rsidR="00BD2EAA" w:rsidRPr="000D69C5" w:rsidRDefault="00BD2EAA" w:rsidP="00BD2EAA">
            <w:pPr>
              <w:jc w:val="right"/>
              <w:rPr>
                <w:rFonts w:ascii="Candara" w:hAnsi="Candara"/>
                <w:b/>
                <w:sz w:val="22"/>
                <w:szCs w:val="22"/>
              </w:rPr>
            </w:pPr>
            <w:r w:rsidRPr="000D69C5">
              <w:rPr>
                <w:rFonts w:ascii="Candara" w:hAnsi="Candara"/>
                <w:b/>
                <w:sz w:val="22"/>
                <w:szCs w:val="22"/>
              </w:rPr>
              <w:t>620</w:t>
            </w:r>
          </w:p>
        </w:tc>
        <w:tc>
          <w:tcPr>
            <w:tcW w:w="2582" w:type="dxa"/>
            <w:noWrap/>
            <w:hideMark/>
          </w:tcPr>
          <w:p w:rsidR="00BD2EAA" w:rsidRPr="000D69C5" w:rsidRDefault="00BD2EAA" w:rsidP="00BD2EAA">
            <w:pPr>
              <w:jc w:val="right"/>
              <w:rPr>
                <w:rFonts w:ascii="Candara" w:hAnsi="Candara"/>
                <w:b/>
                <w:sz w:val="22"/>
                <w:szCs w:val="22"/>
              </w:rPr>
            </w:pPr>
            <w:r w:rsidRPr="000D69C5">
              <w:rPr>
                <w:rFonts w:ascii="Candara" w:hAnsi="Candara"/>
                <w:b/>
                <w:sz w:val="22"/>
                <w:szCs w:val="22"/>
              </w:rPr>
              <w:t>-26,3%</w:t>
            </w:r>
          </w:p>
        </w:tc>
      </w:tr>
      <w:tr w:rsidR="00BD2EAA" w:rsidRPr="000424B5" w:rsidTr="00BD2EAA">
        <w:trPr>
          <w:trHeight w:val="280"/>
        </w:trPr>
        <w:tc>
          <w:tcPr>
            <w:tcW w:w="3624" w:type="dxa"/>
            <w:noWrap/>
            <w:hideMark/>
          </w:tcPr>
          <w:p w:rsidR="00BD2EAA" w:rsidRPr="000D69C5" w:rsidRDefault="00BD2EAA" w:rsidP="00312EB3">
            <w:pPr>
              <w:rPr>
                <w:rFonts w:ascii="Candara" w:hAnsi="Candara"/>
                <w:b/>
                <w:bCs/>
                <w:sz w:val="22"/>
                <w:szCs w:val="22"/>
              </w:rPr>
            </w:pPr>
            <w:r w:rsidRPr="000D69C5">
              <w:rPr>
                <w:rFonts w:ascii="Candara" w:hAnsi="Candara"/>
                <w:bCs/>
                <w:sz w:val="22"/>
                <w:szCs w:val="22"/>
              </w:rPr>
              <w:t>Urbanización</w:t>
            </w:r>
          </w:p>
        </w:tc>
        <w:tc>
          <w:tcPr>
            <w:tcW w:w="2549" w:type="dxa"/>
            <w:noWrap/>
            <w:hideMark/>
          </w:tcPr>
          <w:p w:rsidR="00BD2EAA" w:rsidRPr="000D69C5" w:rsidRDefault="00BD2EAA" w:rsidP="00BD2EAA">
            <w:pPr>
              <w:jc w:val="right"/>
              <w:rPr>
                <w:rFonts w:ascii="Candara" w:hAnsi="Candara"/>
                <w:sz w:val="22"/>
                <w:szCs w:val="22"/>
              </w:rPr>
            </w:pPr>
            <w:r w:rsidRPr="000D69C5">
              <w:rPr>
                <w:rFonts w:ascii="Candara" w:hAnsi="Candara"/>
                <w:sz w:val="22"/>
                <w:szCs w:val="22"/>
              </w:rPr>
              <w:t>160</w:t>
            </w:r>
          </w:p>
        </w:tc>
        <w:tc>
          <w:tcPr>
            <w:tcW w:w="2582" w:type="dxa"/>
            <w:noWrap/>
            <w:hideMark/>
          </w:tcPr>
          <w:p w:rsidR="00BD2EAA" w:rsidRPr="000D69C5" w:rsidRDefault="00BD2EAA" w:rsidP="00BD2EAA">
            <w:pPr>
              <w:jc w:val="right"/>
              <w:rPr>
                <w:rFonts w:ascii="Candara" w:hAnsi="Candara"/>
                <w:sz w:val="22"/>
                <w:szCs w:val="22"/>
              </w:rPr>
            </w:pPr>
            <w:r w:rsidRPr="000D69C5">
              <w:rPr>
                <w:rFonts w:ascii="Candara" w:hAnsi="Candara"/>
                <w:sz w:val="22"/>
                <w:szCs w:val="22"/>
              </w:rPr>
              <w:t>-19,7%</w:t>
            </w:r>
          </w:p>
        </w:tc>
      </w:tr>
      <w:tr w:rsidR="00BD2EAA" w:rsidRPr="000424B5" w:rsidTr="00BD2EAA">
        <w:trPr>
          <w:trHeight w:val="280"/>
        </w:trPr>
        <w:tc>
          <w:tcPr>
            <w:tcW w:w="3624" w:type="dxa"/>
            <w:noWrap/>
            <w:hideMark/>
          </w:tcPr>
          <w:p w:rsidR="00BD2EAA" w:rsidRPr="000D69C5" w:rsidRDefault="00BD2EAA" w:rsidP="00312EB3">
            <w:pPr>
              <w:rPr>
                <w:rFonts w:ascii="Candara" w:hAnsi="Candara"/>
                <w:b/>
                <w:bCs/>
                <w:sz w:val="22"/>
                <w:szCs w:val="22"/>
              </w:rPr>
            </w:pPr>
            <w:r w:rsidRPr="000D69C5">
              <w:rPr>
                <w:rFonts w:ascii="Candara" w:hAnsi="Candara"/>
                <w:bCs/>
                <w:sz w:val="22"/>
                <w:szCs w:val="22"/>
              </w:rPr>
              <w:t>Obras hidráulicas</w:t>
            </w:r>
          </w:p>
        </w:tc>
        <w:tc>
          <w:tcPr>
            <w:tcW w:w="2549" w:type="dxa"/>
            <w:noWrap/>
            <w:hideMark/>
          </w:tcPr>
          <w:p w:rsidR="00BD2EAA" w:rsidRPr="000D69C5" w:rsidRDefault="00BD2EAA" w:rsidP="00BD2EAA">
            <w:pPr>
              <w:jc w:val="right"/>
              <w:rPr>
                <w:rFonts w:ascii="Candara" w:hAnsi="Candara"/>
                <w:sz w:val="22"/>
                <w:szCs w:val="22"/>
              </w:rPr>
            </w:pPr>
            <w:r w:rsidRPr="000D69C5">
              <w:rPr>
                <w:rFonts w:ascii="Candara" w:hAnsi="Candara"/>
                <w:sz w:val="22"/>
                <w:szCs w:val="22"/>
              </w:rPr>
              <w:t>353</w:t>
            </w:r>
          </w:p>
        </w:tc>
        <w:tc>
          <w:tcPr>
            <w:tcW w:w="2582" w:type="dxa"/>
            <w:noWrap/>
            <w:hideMark/>
          </w:tcPr>
          <w:p w:rsidR="00BD2EAA" w:rsidRPr="000D69C5" w:rsidRDefault="00BD2EAA" w:rsidP="00BD2EAA">
            <w:pPr>
              <w:jc w:val="right"/>
              <w:rPr>
                <w:rFonts w:ascii="Candara" w:hAnsi="Candara"/>
                <w:sz w:val="22"/>
                <w:szCs w:val="22"/>
              </w:rPr>
            </w:pPr>
            <w:r w:rsidRPr="000D69C5">
              <w:rPr>
                <w:rFonts w:ascii="Candara" w:hAnsi="Candara"/>
                <w:sz w:val="22"/>
                <w:szCs w:val="22"/>
              </w:rPr>
              <w:t>41,3%</w:t>
            </w:r>
          </w:p>
        </w:tc>
      </w:tr>
      <w:tr w:rsidR="00BD2EAA" w:rsidRPr="000424B5" w:rsidTr="00BD2EAA">
        <w:trPr>
          <w:trHeight w:val="280"/>
        </w:trPr>
        <w:tc>
          <w:tcPr>
            <w:tcW w:w="3624" w:type="dxa"/>
            <w:noWrap/>
            <w:hideMark/>
          </w:tcPr>
          <w:p w:rsidR="00BD2EAA" w:rsidRPr="000D69C5" w:rsidRDefault="00BD2EAA" w:rsidP="00312EB3">
            <w:pPr>
              <w:rPr>
                <w:rFonts w:ascii="Candara" w:hAnsi="Candara"/>
                <w:b/>
                <w:bCs/>
                <w:sz w:val="22"/>
                <w:szCs w:val="22"/>
              </w:rPr>
            </w:pPr>
            <w:r w:rsidRPr="000D69C5">
              <w:rPr>
                <w:rFonts w:ascii="Candara" w:hAnsi="Candara"/>
                <w:bCs/>
                <w:sz w:val="22"/>
                <w:szCs w:val="22"/>
              </w:rPr>
              <w:t>Medio Ambiente</w:t>
            </w:r>
          </w:p>
        </w:tc>
        <w:tc>
          <w:tcPr>
            <w:tcW w:w="2549" w:type="dxa"/>
            <w:noWrap/>
            <w:hideMark/>
          </w:tcPr>
          <w:p w:rsidR="00BD2EAA" w:rsidRPr="000D69C5" w:rsidRDefault="00BD2EAA" w:rsidP="00BD2EAA">
            <w:pPr>
              <w:jc w:val="right"/>
              <w:rPr>
                <w:rFonts w:ascii="Candara" w:hAnsi="Candara"/>
                <w:sz w:val="22"/>
                <w:szCs w:val="22"/>
              </w:rPr>
            </w:pPr>
            <w:r w:rsidRPr="000D69C5">
              <w:rPr>
                <w:rFonts w:ascii="Candara" w:hAnsi="Candara"/>
                <w:sz w:val="22"/>
                <w:szCs w:val="22"/>
              </w:rPr>
              <w:t>30</w:t>
            </w:r>
          </w:p>
        </w:tc>
        <w:tc>
          <w:tcPr>
            <w:tcW w:w="2582" w:type="dxa"/>
            <w:noWrap/>
            <w:hideMark/>
          </w:tcPr>
          <w:p w:rsidR="00BD2EAA" w:rsidRPr="000D69C5" w:rsidRDefault="00BD2EAA" w:rsidP="00BD2EAA">
            <w:pPr>
              <w:jc w:val="right"/>
              <w:rPr>
                <w:rFonts w:ascii="Candara" w:hAnsi="Candara"/>
                <w:sz w:val="22"/>
                <w:szCs w:val="22"/>
              </w:rPr>
            </w:pPr>
            <w:r w:rsidRPr="000D69C5">
              <w:rPr>
                <w:rFonts w:ascii="Candara" w:hAnsi="Candara"/>
                <w:sz w:val="22"/>
                <w:szCs w:val="22"/>
              </w:rPr>
              <w:t>31,8%</w:t>
            </w:r>
          </w:p>
        </w:tc>
      </w:tr>
      <w:tr w:rsidR="00BD2EAA" w:rsidRPr="000424B5" w:rsidTr="00BD2EAA">
        <w:trPr>
          <w:trHeight w:val="280"/>
        </w:trPr>
        <w:tc>
          <w:tcPr>
            <w:tcW w:w="3624" w:type="dxa"/>
            <w:noWrap/>
            <w:hideMark/>
          </w:tcPr>
          <w:p w:rsidR="00BD2EAA" w:rsidRPr="000D69C5" w:rsidRDefault="00BD2EAA" w:rsidP="00312EB3">
            <w:pPr>
              <w:rPr>
                <w:rFonts w:ascii="Candara" w:hAnsi="Candara"/>
                <w:b/>
                <w:bCs/>
                <w:sz w:val="22"/>
                <w:szCs w:val="22"/>
              </w:rPr>
            </w:pPr>
            <w:r w:rsidRPr="000D69C5">
              <w:rPr>
                <w:rFonts w:ascii="Candara" w:hAnsi="Candara"/>
                <w:b/>
                <w:bCs/>
                <w:sz w:val="22"/>
                <w:szCs w:val="22"/>
              </w:rPr>
              <w:t>Total Obra Civil</w:t>
            </w:r>
          </w:p>
        </w:tc>
        <w:tc>
          <w:tcPr>
            <w:tcW w:w="2549" w:type="dxa"/>
            <w:noWrap/>
            <w:hideMark/>
          </w:tcPr>
          <w:p w:rsidR="00BD2EAA" w:rsidRPr="000D69C5" w:rsidRDefault="00BD2EAA" w:rsidP="00BD2EAA">
            <w:pPr>
              <w:jc w:val="right"/>
              <w:rPr>
                <w:rFonts w:ascii="Candara" w:hAnsi="Candara"/>
                <w:b/>
                <w:sz w:val="22"/>
                <w:szCs w:val="22"/>
              </w:rPr>
            </w:pPr>
            <w:r w:rsidRPr="000D69C5">
              <w:rPr>
                <w:rFonts w:ascii="Candara" w:hAnsi="Candara"/>
                <w:b/>
                <w:sz w:val="22"/>
                <w:szCs w:val="22"/>
              </w:rPr>
              <w:t>1.163</w:t>
            </w:r>
          </w:p>
        </w:tc>
        <w:tc>
          <w:tcPr>
            <w:tcW w:w="2582" w:type="dxa"/>
            <w:noWrap/>
            <w:hideMark/>
          </w:tcPr>
          <w:p w:rsidR="00BD2EAA" w:rsidRPr="000D69C5" w:rsidRDefault="00BD2EAA" w:rsidP="00BD2EAA">
            <w:pPr>
              <w:jc w:val="right"/>
              <w:rPr>
                <w:rFonts w:ascii="Candara" w:hAnsi="Candara"/>
                <w:b/>
                <w:sz w:val="22"/>
                <w:szCs w:val="22"/>
              </w:rPr>
            </w:pPr>
            <w:r w:rsidRPr="000D69C5">
              <w:rPr>
                <w:rFonts w:ascii="Candara" w:hAnsi="Candara"/>
                <w:b/>
                <w:sz w:val="22"/>
                <w:szCs w:val="22"/>
              </w:rPr>
              <w:t>-11,4%</w:t>
            </w:r>
          </w:p>
        </w:tc>
      </w:tr>
      <w:tr w:rsidR="00BD2EAA" w:rsidRPr="000424B5" w:rsidTr="00BD2EAA">
        <w:trPr>
          <w:trHeight w:val="280"/>
        </w:trPr>
        <w:tc>
          <w:tcPr>
            <w:tcW w:w="3624" w:type="dxa"/>
            <w:noWrap/>
            <w:hideMark/>
          </w:tcPr>
          <w:p w:rsidR="00BD2EAA" w:rsidRPr="000D69C5" w:rsidRDefault="00BD2EAA" w:rsidP="00312EB3">
            <w:pPr>
              <w:rPr>
                <w:rFonts w:ascii="Candara" w:hAnsi="Candara"/>
                <w:b/>
                <w:bCs/>
                <w:sz w:val="22"/>
                <w:szCs w:val="22"/>
              </w:rPr>
            </w:pPr>
            <w:r w:rsidRPr="000D69C5">
              <w:rPr>
                <w:rFonts w:ascii="Candara" w:hAnsi="Candara"/>
                <w:b/>
                <w:bCs/>
                <w:sz w:val="22"/>
                <w:szCs w:val="22"/>
              </w:rPr>
              <w:t>Total</w:t>
            </w:r>
          </w:p>
        </w:tc>
        <w:tc>
          <w:tcPr>
            <w:tcW w:w="2549" w:type="dxa"/>
            <w:noWrap/>
            <w:hideMark/>
          </w:tcPr>
          <w:p w:rsidR="00BD2EAA" w:rsidRPr="000D69C5" w:rsidRDefault="00BD2EAA" w:rsidP="00BD2EAA">
            <w:pPr>
              <w:jc w:val="right"/>
              <w:rPr>
                <w:rFonts w:ascii="Candara" w:hAnsi="Candara"/>
                <w:b/>
                <w:bCs/>
                <w:sz w:val="22"/>
                <w:szCs w:val="22"/>
              </w:rPr>
            </w:pPr>
            <w:r w:rsidRPr="000D69C5">
              <w:rPr>
                <w:rFonts w:ascii="Candara" w:hAnsi="Candara"/>
                <w:b/>
                <w:bCs/>
                <w:sz w:val="22"/>
                <w:szCs w:val="22"/>
              </w:rPr>
              <w:t>1.622</w:t>
            </w:r>
          </w:p>
        </w:tc>
        <w:tc>
          <w:tcPr>
            <w:tcW w:w="2582" w:type="dxa"/>
            <w:noWrap/>
            <w:hideMark/>
          </w:tcPr>
          <w:p w:rsidR="00BD2EAA" w:rsidRPr="000D69C5" w:rsidRDefault="00BD2EAA" w:rsidP="00BD2EAA">
            <w:pPr>
              <w:jc w:val="right"/>
              <w:rPr>
                <w:rFonts w:ascii="Candara" w:hAnsi="Candara"/>
                <w:b/>
                <w:bCs/>
                <w:sz w:val="22"/>
                <w:szCs w:val="22"/>
              </w:rPr>
            </w:pPr>
            <w:r w:rsidRPr="000D69C5">
              <w:rPr>
                <w:rFonts w:ascii="Candara" w:hAnsi="Candara"/>
                <w:b/>
                <w:bCs/>
                <w:sz w:val="22"/>
                <w:szCs w:val="22"/>
              </w:rPr>
              <w:t>-7,2%</w:t>
            </w:r>
          </w:p>
        </w:tc>
      </w:tr>
      <w:tr w:rsidR="00BD2EAA" w:rsidRPr="000424B5" w:rsidTr="00BD2EAA">
        <w:trPr>
          <w:trHeight w:val="20"/>
        </w:trPr>
        <w:tc>
          <w:tcPr>
            <w:tcW w:w="8755" w:type="dxa"/>
            <w:gridSpan w:val="3"/>
            <w:noWrap/>
          </w:tcPr>
          <w:p w:rsidR="00BD2EAA" w:rsidRPr="000D69C5" w:rsidRDefault="00BD2EAA" w:rsidP="00312EB3">
            <w:pPr>
              <w:rPr>
                <w:rFonts w:ascii="Candara" w:hAnsi="Candara"/>
                <w:b/>
                <w:bCs/>
                <w:sz w:val="22"/>
                <w:szCs w:val="22"/>
              </w:rPr>
            </w:pPr>
            <w:r w:rsidRPr="000D69C5">
              <w:rPr>
                <w:rFonts w:ascii="Candara" w:hAnsi="Candara"/>
                <w:b/>
                <w:bCs/>
                <w:sz w:val="22"/>
                <w:szCs w:val="22"/>
              </w:rPr>
              <w:t>Fuente: SEOPAN</w:t>
            </w:r>
          </w:p>
        </w:tc>
      </w:tr>
    </w:tbl>
    <w:p w:rsidR="007D60B0" w:rsidRDefault="007D60B0" w:rsidP="00BD2EAA">
      <w:pPr>
        <w:widowControl w:val="0"/>
        <w:autoSpaceDE w:val="0"/>
        <w:autoSpaceDN w:val="0"/>
        <w:adjustRightInd w:val="0"/>
        <w:jc w:val="both"/>
        <w:rPr>
          <w:rFonts w:ascii="Calibri" w:hAnsi="Calibri"/>
          <w:sz w:val="22"/>
          <w:szCs w:val="22"/>
          <w:lang w:val="es-ES"/>
        </w:rPr>
      </w:pPr>
    </w:p>
    <w:p w:rsidR="00BD2EAA" w:rsidRPr="000D69C5" w:rsidRDefault="00BD2EAA" w:rsidP="00BD2EAA">
      <w:pPr>
        <w:widowControl w:val="0"/>
        <w:autoSpaceDE w:val="0"/>
        <w:autoSpaceDN w:val="0"/>
        <w:adjustRightInd w:val="0"/>
        <w:jc w:val="both"/>
        <w:rPr>
          <w:rFonts w:ascii="Candara" w:hAnsi="Candara"/>
          <w:lang w:val="es-ES"/>
        </w:rPr>
      </w:pPr>
      <w:r w:rsidRPr="000D69C5">
        <w:rPr>
          <w:rFonts w:ascii="Candara" w:hAnsi="Candara"/>
          <w:lang w:val="es-ES"/>
        </w:rPr>
        <w:t>Por Comunidades Autónomas, La Rioja, (1.134%), Asturias (680%), Extremadura (327%) y Cantabria (320%) muestran los principales incrementos de la licitación respecto al primer trimestre de 2012, mientras que El País Vasco (-80%, Madrid (-61,1%) y Navarra (-47%) revelan un retroceso de la licitación.</w:t>
      </w:r>
    </w:p>
    <w:p w:rsidR="000D69C5" w:rsidRPr="000D69C5" w:rsidRDefault="000D69C5" w:rsidP="00BD2EAA">
      <w:pPr>
        <w:widowControl w:val="0"/>
        <w:autoSpaceDE w:val="0"/>
        <w:autoSpaceDN w:val="0"/>
        <w:adjustRightInd w:val="0"/>
        <w:jc w:val="both"/>
        <w:rPr>
          <w:rFonts w:ascii="Candara" w:hAnsi="Candara"/>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tblPr>
      <w:tblGrid>
        <w:gridCol w:w="2551"/>
        <w:gridCol w:w="2053"/>
        <w:gridCol w:w="2055"/>
        <w:gridCol w:w="2055"/>
      </w:tblGrid>
      <w:tr w:rsidR="00BD2EAA" w:rsidRPr="000424B5" w:rsidTr="00BD2EAA">
        <w:trPr>
          <w:trHeight w:val="20"/>
        </w:trPr>
        <w:tc>
          <w:tcPr>
            <w:tcW w:w="5000" w:type="pct"/>
            <w:gridSpan w:val="4"/>
            <w:noWrap/>
          </w:tcPr>
          <w:p w:rsidR="00BD2EAA" w:rsidRPr="000D69C5" w:rsidRDefault="00BD2EAA" w:rsidP="00BD2EAA">
            <w:pPr>
              <w:jc w:val="center"/>
              <w:rPr>
                <w:rFonts w:ascii="Candara" w:hAnsi="Candara" w:cs="Tahoma"/>
                <w:b/>
                <w:bCs/>
                <w:sz w:val="22"/>
                <w:szCs w:val="22"/>
              </w:rPr>
            </w:pPr>
            <w:r w:rsidRPr="000D69C5">
              <w:rPr>
                <w:rFonts w:ascii="Candara" w:hAnsi="Candara" w:cs="Tahoma"/>
                <w:b/>
                <w:bCs/>
                <w:sz w:val="22"/>
                <w:szCs w:val="22"/>
              </w:rPr>
              <w:t>LICITACIÓN PÚBLICA POR COMUNIDADES AUTÓNOMAS</w:t>
            </w:r>
          </w:p>
          <w:p w:rsidR="00BD2EAA" w:rsidRPr="000D69C5" w:rsidRDefault="00BD2EAA" w:rsidP="00BD2EAA">
            <w:pPr>
              <w:jc w:val="center"/>
              <w:rPr>
                <w:rFonts w:ascii="Candara" w:hAnsi="Candara" w:cs="Tahoma"/>
                <w:b/>
                <w:bCs/>
                <w:sz w:val="22"/>
                <w:szCs w:val="22"/>
              </w:rPr>
            </w:pPr>
            <w:r w:rsidRPr="000D69C5">
              <w:rPr>
                <w:rFonts w:ascii="Candara" w:hAnsi="Candara" w:cs="Tahoma"/>
                <w:b/>
                <w:bCs/>
                <w:sz w:val="22"/>
                <w:szCs w:val="22"/>
              </w:rPr>
              <w:t>(Enero - Marzo) 2013/2012 - Millones de Euros</w:t>
            </w:r>
          </w:p>
        </w:tc>
      </w:tr>
      <w:tr w:rsidR="00BD2EAA" w:rsidRPr="000424B5" w:rsidTr="00BD2EAA">
        <w:trPr>
          <w:trHeight w:val="20"/>
        </w:trPr>
        <w:tc>
          <w:tcPr>
            <w:tcW w:w="1464" w:type="pct"/>
            <w:noWrap/>
          </w:tcPr>
          <w:p w:rsidR="00BD2EAA" w:rsidRPr="000D69C5" w:rsidRDefault="00BD2EAA" w:rsidP="00BD2EAA">
            <w:pPr>
              <w:jc w:val="center"/>
              <w:rPr>
                <w:rFonts w:ascii="Candara" w:hAnsi="Candara" w:cs="Tahoma"/>
                <w:b/>
                <w:bCs/>
                <w:sz w:val="22"/>
                <w:szCs w:val="22"/>
              </w:rPr>
            </w:pPr>
          </w:p>
        </w:tc>
        <w:tc>
          <w:tcPr>
            <w:tcW w:w="1178" w:type="pct"/>
          </w:tcPr>
          <w:p w:rsidR="00BD2EAA" w:rsidRPr="000D69C5" w:rsidRDefault="00BD2EAA" w:rsidP="00BD2EAA">
            <w:pPr>
              <w:jc w:val="center"/>
              <w:rPr>
                <w:rFonts w:ascii="Candara" w:hAnsi="Candara" w:cs="Tahoma"/>
                <w:b/>
                <w:bCs/>
                <w:sz w:val="22"/>
                <w:szCs w:val="22"/>
              </w:rPr>
            </w:pPr>
            <w:r w:rsidRPr="000D69C5">
              <w:rPr>
                <w:rFonts w:ascii="Candara" w:hAnsi="Candara" w:cs="Tahoma"/>
                <w:b/>
                <w:bCs/>
                <w:sz w:val="22"/>
                <w:szCs w:val="22"/>
              </w:rPr>
              <w:t>2012</w:t>
            </w:r>
          </w:p>
        </w:tc>
        <w:tc>
          <w:tcPr>
            <w:tcW w:w="1179" w:type="pct"/>
          </w:tcPr>
          <w:p w:rsidR="00BD2EAA" w:rsidRPr="000D69C5" w:rsidRDefault="00BD2EAA" w:rsidP="00BD2EAA">
            <w:pPr>
              <w:jc w:val="center"/>
              <w:rPr>
                <w:rFonts w:ascii="Candara" w:hAnsi="Candara"/>
                <w:b/>
                <w:sz w:val="22"/>
                <w:szCs w:val="22"/>
              </w:rPr>
            </w:pPr>
            <w:r w:rsidRPr="000D69C5">
              <w:rPr>
                <w:rFonts w:ascii="Candara" w:hAnsi="Candara"/>
                <w:b/>
                <w:sz w:val="22"/>
                <w:szCs w:val="22"/>
              </w:rPr>
              <w:t>2013</w:t>
            </w:r>
          </w:p>
        </w:tc>
        <w:tc>
          <w:tcPr>
            <w:tcW w:w="1179" w:type="pct"/>
          </w:tcPr>
          <w:p w:rsidR="00BD2EAA" w:rsidRPr="000D69C5" w:rsidRDefault="00BD2EAA" w:rsidP="00BD2EAA">
            <w:pPr>
              <w:jc w:val="center"/>
              <w:rPr>
                <w:rFonts w:ascii="Candara" w:hAnsi="Candara"/>
                <w:b/>
                <w:sz w:val="22"/>
                <w:szCs w:val="22"/>
              </w:rPr>
            </w:pPr>
            <w:r w:rsidRPr="000D69C5">
              <w:rPr>
                <w:rFonts w:ascii="Candara" w:hAnsi="Candara"/>
                <w:b/>
                <w:sz w:val="22"/>
                <w:szCs w:val="22"/>
              </w:rPr>
              <w:t>2013/2012</w:t>
            </w:r>
          </w:p>
          <w:p w:rsidR="00BD2EAA" w:rsidRPr="000D69C5" w:rsidRDefault="00BD2EAA" w:rsidP="00BD2EAA">
            <w:pPr>
              <w:jc w:val="center"/>
              <w:rPr>
                <w:rFonts w:ascii="Candara" w:hAnsi="Candara"/>
                <w:b/>
                <w:sz w:val="22"/>
                <w:szCs w:val="22"/>
              </w:rPr>
            </w:pPr>
            <w:r w:rsidRPr="000D69C5">
              <w:rPr>
                <w:rFonts w:ascii="Candara" w:hAnsi="Candara"/>
                <w:b/>
                <w:sz w:val="22"/>
                <w:szCs w:val="22"/>
              </w:rPr>
              <w:t>(%)</w:t>
            </w:r>
          </w:p>
        </w:tc>
      </w:tr>
      <w:tr w:rsidR="00BD2EAA" w:rsidRPr="000424B5" w:rsidTr="00BD2EAA">
        <w:trPr>
          <w:trHeight w:val="20"/>
        </w:trPr>
        <w:tc>
          <w:tcPr>
            <w:tcW w:w="1464" w:type="pct"/>
            <w:noWrap/>
          </w:tcPr>
          <w:p w:rsidR="00BD2EAA" w:rsidRPr="000D69C5" w:rsidRDefault="00BD2EAA" w:rsidP="00312EB3">
            <w:pPr>
              <w:rPr>
                <w:rFonts w:ascii="Candara" w:hAnsi="Candara"/>
                <w:b/>
                <w:bCs/>
                <w:sz w:val="22"/>
                <w:szCs w:val="22"/>
              </w:rPr>
            </w:pPr>
            <w:r w:rsidRPr="000D69C5">
              <w:rPr>
                <w:rFonts w:ascii="Candara" w:hAnsi="Candara"/>
                <w:b/>
                <w:sz w:val="22"/>
                <w:szCs w:val="22"/>
              </w:rPr>
              <w:t>Andalucía</w:t>
            </w:r>
          </w:p>
        </w:tc>
        <w:tc>
          <w:tcPr>
            <w:tcW w:w="1178" w:type="pct"/>
          </w:tcPr>
          <w:p w:rsidR="00BD2EAA" w:rsidRPr="000D69C5" w:rsidRDefault="00BD2EAA" w:rsidP="00BD2EAA">
            <w:pPr>
              <w:jc w:val="right"/>
              <w:rPr>
                <w:rFonts w:ascii="Candara" w:hAnsi="Candara"/>
                <w:sz w:val="22"/>
                <w:szCs w:val="22"/>
              </w:rPr>
            </w:pPr>
            <w:r w:rsidRPr="000D69C5">
              <w:rPr>
                <w:rFonts w:ascii="Candara" w:hAnsi="Candara"/>
                <w:sz w:val="22"/>
                <w:szCs w:val="22"/>
              </w:rPr>
              <w:t>264</w:t>
            </w:r>
          </w:p>
        </w:tc>
        <w:tc>
          <w:tcPr>
            <w:tcW w:w="1179" w:type="pct"/>
          </w:tcPr>
          <w:p w:rsidR="00BD2EAA" w:rsidRPr="000D69C5" w:rsidRDefault="00BD2EAA" w:rsidP="00BD2EAA">
            <w:pPr>
              <w:jc w:val="right"/>
              <w:rPr>
                <w:rFonts w:ascii="Candara" w:hAnsi="Candara"/>
                <w:sz w:val="22"/>
                <w:szCs w:val="22"/>
              </w:rPr>
            </w:pPr>
            <w:r w:rsidRPr="000D69C5">
              <w:rPr>
                <w:rFonts w:ascii="Candara" w:hAnsi="Candara"/>
                <w:sz w:val="22"/>
                <w:szCs w:val="22"/>
              </w:rPr>
              <w:t>228</w:t>
            </w:r>
          </w:p>
        </w:tc>
        <w:tc>
          <w:tcPr>
            <w:tcW w:w="1179" w:type="pct"/>
          </w:tcPr>
          <w:p w:rsidR="00BD2EAA" w:rsidRPr="000D69C5" w:rsidRDefault="00BD2EAA" w:rsidP="00BD2EAA">
            <w:pPr>
              <w:jc w:val="right"/>
              <w:rPr>
                <w:rFonts w:ascii="Candara" w:hAnsi="Candara"/>
                <w:sz w:val="22"/>
                <w:szCs w:val="22"/>
              </w:rPr>
            </w:pPr>
            <w:r w:rsidRPr="000D69C5">
              <w:rPr>
                <w:rFonts w:ascii="Candara" w:hAnsi="Candara"/>
                <w:sz w:val="22"/>
                <w:szCs w:val="22"/>
              </w:rPr>
              <w:t>-13,9</w:t>
            </w:r>
          </w:p>
        </w:tc>
      </w:tr>
      <w:tr w:rsidR="00BD2EAA" w:rsidRPr="000424B5" w:rsidTr="00BD2EAA">
        <w:trPr>
          <w:trHeight w:val="20"/>
        </w:trPr>
        <w:tc>
          <w:tcPr>
            <w:tcW w:w="1464" w:type="pct"/>
            <w:noWrap/>
          </w:tcPr>
          <w:p w:rsidR="00BD2EAA" w:rsidRPr="000D69C5" w:rsidRDefault="00BD2EAA" w:rsidP="00312EB3">
            <w:pPr>
              <w:rPr>
                <w:rFonts w:ascii="Candara" w:hAnsi="Candara"/>
                <w:b/>
                <w:bCs/>
                <w:sz w:val="22"/>
                <w:szCs w:val="22"/>
              </w:rPr>
            </w:pPr>
            <w:r w:rsidRPr="000D69C5">
              <w:rPr>
                <w:rFonts w:ascii="Candara" w:hAnsi="Candara"/>
                <w:b/>
                <w:sz w:val="22"/>
                <w:szCs w:val="22"/>
              </w:rPr>
              <w:t>Aragón</w:t>
            </w:r>
          </w:p>
        </w:tc>
        <w:tc>
          <w:tcPr>
            <w:tcW w:w="1178" w:type="pct"/>
          </w:tcPr>
          <w:p w:rsidR="00BD2EAA" w:rsidRPr="000D69C5" w:rsidRDefault="00BD2EAA" w:rsidP="00BD2EAA">
            <w:pPr>
              <w:jc w:val="right"/>
              <w:rPr>
                <w:rFonts w:ascii="Candara" w:hAnsi="Candara"/>
                <w:sz w:val="22"/>
                <w:szCs w:val="22"/>
              </w:rPr>
            </w:pPr>
            <w:r w:rsidRPr="000D69C5">
              <w:rPr>
                <w:rFonts w:ascii="Candara" w:hAnsi="Candara"/>
                <w:sz w:val="22"/>
                <w:szCs w:val="22"/>
              </w:rPr>
              <w:t>18</w:t>
            </w:r>
          </w:p>
        </w:tc>
        <w:tc>
          <w:tcPr>
            <w:tcW w:w="1179" w:type="pct"/>
          </w:tcPr>
          <w:p w:rsidR="00BD2EAA" w:rsidRPr="000D69C5" w:rsidRDefault="00BD2EAA" w:rsidP="00BD2EAA">
            <w:pPr>
              <w:jc w:val="right"/>
              <w:rPr>
                <w:rFonts w:ascii="Candara" w:hAnsi="Candara"/>
                <w:sz w:val="22"/>
                <w:szCs w:val="22"/>
              </w:rPr>
            </w:pPr>
            <w:r w:rsidRPr="000D69C5">
              <w:rPr>
                <w:rFonts w:ascii="Candara" w:hAnsi="Candara"/>
                <w:sz w:val="22"/>
                <w:szCs w:val="22"/>
              </w:rPr>
              <w:t>53</w:t>
            </w:r>
          </w:p>
        </w:tc>
        <w:tc>
          <w:tcPr>
            <w:tcW w:w="1179" w:type="pct"/>
          </w:tcPr>
          <w:p w:rsidR="00BD2EAA" w:rsidRPr="000D69C5" w:rsidRDefault="00BD2EAA" w:rsidP="00BD2EAA">
            <w:pPr>
              <w:jc w:val="right"/>
              <w:rPr>
                <w:rFonts w:ascii="Candara" w:hAnsi="Candara"/>
                <w:sz w:val="22"/>
                <w:szCs w:val="22"/>
              </w:rPr>
            </w:pPr>
            <w:r w:rsidRPr="000D69C5">
              <w:rPr>
                <w:rFonts w:ascii="Candara" w:hAnsi="Candara"/>
                <w:sz w:val="22"/>
                <w:szCs w:val="22"/>
              </w:rPr>
              <w:t>198</w:t>
            </w:r>
          </w:p>
        </w:tc>
      </w:tr>
      <w:tr w:rsidR="00BD2EAA" w:rsidRPr="000424B5" w:rsidTr="00BD2EAA">
        <w:trPr>
          <w:trHeight w:val="20"/>
        </w:trPr>
        <w:tc>
          <w:tcPr>
            <w:tcW w:w="1464" w:type="pct"/>
            <w:noWrap/>
          </w:tcPr>
          <w:p w:rsidR="00BD2EAA" w:rsidRPr="000D69C5" w:rsidRDefault="00BD2EAA" w:rsidP="00312EB3">
            <w:pPr>
              <w:rPr>
                <w:rFonts w:ascii="Candara" w:hAnsi="Candara"/>
                <w:b/>
                <w:bCs/>
                <w:sz w:val="22"/>
                <w:szCs w:val="22"/>
              </w:rPr>
            </w:pPr>
            <w:r w:rsidRPr="000D69C5">
              <w:rPr>
                <w:rFonts w:ascii="Candara" w:hAnsi="Candara"/>
                <w:b/>
                <w:sz w:val="22"/>
                <w:szCs w:val="22"/>
              </w:rPr>
              <w:t>Asturias</w:t>
            </w:r>
          </w:p>
        </w:tc>
        <w:tc>
          <w:tcPr>
            <w:tcW w:w="1178" w:type="pct"/>
          </w:tcPr>
          <w:p w:rsidR="00BD2EAA" w:rsidRPr="000D69C5" w:rsidRDefault="00BD2EAA" w:rsidP="00BD2EAA">
            <w:pPr>
              <w:jc w:val="right"/>
              <w:rPr>
                <w:rFonts w:ascii="Candara" w:hAnsi="Candara"/>
                <w:sz w:val="22"/>
                <w:szCs w:val="22"/>
              </w:rPr>
            </w:pPr>
            <w:r w:rsidRPr="000D69C5">
              <w:rPr>
                <w:rFonts w:ascii="Candara" w:hAnsi="Candara"/>
                <w:sz w:val="22"/>
                <w:szCs w:val="22"/>
              </w:rPr>
              <w:t>11</w:t>
            </w:r>
          </w:p>
        </w:tc>
        <w:tc>
          <w:tcPr>
            <w:tcW w:w="1179" w:type="pct"/>
          </w:tcPr>
          <w:p w:rsidR="00BD2EAA" w:rsidRPr="000D69C5" w:rsidRDefault="00BD2EAA" w:rsidP="00BD2EAA">
            <w:pPr>
              <w:jc w:val="right"/>
              <w:rPr>
                <w:rFonts w:ascii="Candara" w:hAnsi="Candara"/>
                <w:sz w:val="22"/>
                <w:szCs w:val="22"/>
              </w:rPr>
            </w:pPr>
            <w:r w:rsidRPr="000D69C5">
              <w:rPr>
                <w:rFonts w:ascii="Candara" w:hAnsi="Candara"/>
                <w:sz w:val="22"/>
                <w:szCs w:val="22"/>
              </w:rPr>
              <w:t>85</w:t>
            </w:r>
          </w:p>
        </w:tc>
        <w:tc>
          <w:tcPr>
            <w:tcW w:w="1179" w:type="pct"/>
          </w:tcPr>
          <w:p w:rsidR="00BD2EAA" w:rsidRPr="000D69C5" w:rsidRDefault="00BD2EAA" w:rsidP="00BD2EAA">
            <w:pPr>
              <w:jc w:val="right"/>
              <w:rPr>
                <w:rFonts w:ascii="Candara" w:hAnsi="Candara"/>
                <w:sz w:val="22"/>
                <w:szCs w:val="22"/>
              </w:rPr>
            </w:pPr>
            <w:r w:rsidRPr="000D69C5">
              <w:rPr>
                <w:rFonts w:ascii="Candara" w:hAnsi="Candara"/>
                <w:sz w:val="22"/>
                <w:szCs w:val="22"/>
              </w:rPr>
              <w:t>680</w:t>
            </w:r>
          </w:p>
        </w:tc>
      </w:tr>
      <w:tr w:rsidR="00BD2EAA" w:rsidRPr="000424B5" w:rsidTr="00BD2EAA">
        <w:trPr>
          <w:trHeight w:val="20"/>
        </w:trPr>
        <w:tc>
          <w:tcPr>
            <w:tcW w:w="1464" w:type="pct"/>
            <w:noWrap/>
          </w:tcPr>
          <w:p w:rsidR="00BD2EAA" w:rsidRPr="000D69C5" w:rsidRDefault="00BD2EAA" w:rsidP="00312EB3">
            <w:pPr>
              <w:rPr>
                <w:rFonts w:ascii="Candara" w:hAnsi="Candara"/>
                <w:b/>
                <w:bCs/>
                <w:sz w:val="22"/>
                <w:szCs w:val="22"/>
              </w:rPr>
            </w:pPr>
            <w:r w:rsidRPr="000D69C5">
              <w:rPr>
                <w:rFonts w:ascii="Candara" w:hAnsi="Candara"/>
                <w:b/>
                <w:sz w:val="22"/>
                <w:szCs w:val="22"/>
              </w:rPr>
              <w:t>Islas Baleares</w:t>
            </w:r>
          </w:p>
        </w:tc>
        <w:tc>
          <w:tcPr>
            <w:tcW w:w="1178" w:type="pct"/>
          </w:tcPr>
          <w:p w:rsidR="00BD2EAA" w:rsidRPr="000D69C5" w:rsidRDefault="00BD2EAA" w:rsidP="00BD2EAA">
            <w:pPr>
              <w:jc w:val="right"/>
              <w:rPr>
                <w:rFonts w:ascii="Candara" w:hAnsi="Candara"/>
                <w:sz w:val="22"/>
                <w:szCs w:val="22"/>
              </w:rPr>
            </w:pPr>
            <w:r w:rsidRPr="000D69C5">
              <w:rPr>
                <w:rFonts w:ascii="Candara" w:hAnsi="Candara"/>
                <w:sz w:val="22"/>
                <w:szCs w:val="22"/>
              </w:rPr>
              <w:t>14</w:t>
            </w:r>
          </w:p>
        </w:tc>
        <w:tc>
          <w:tcPr>
            <w:tcW w:w="1179" w:type="pct"/>
          </w:tcPr>
          <w:p w:rsidR="00BD2EAA" w:rsidRPr="000D69C5" w:rsidRDefault="00BD2EAA" w:rsidP="00BD2EAA">
            <w:pPr>
              <w:jc w:val="right"/>
              <w:rPr>
                <w:rFonts w:ascii="Candara" w:hAnsi="Candara"/>
                <w:sz w:val="22"/>
                <w:szCs w:val="22"/>
              </w:rPr>
            </w:pPr>
            <w:r w:rsidRPr="000D69C5">
              <w:rPr>
                <w:rFonts w:ascii="Candara" w:hAnsi="Candara"/>
                <w:sz w:val="22"/>
                <w:szCs w:val="22"/>
              </w:rPr>
              <w:t>14</w:t>
            </w:r>
          </w:p>
        </w:tc>
        <w:tc>
          <w:tcPr>
            <w:tcW w:w="1179" w:type="pct"/>
          </w:tcPr>
          <w:p w:rsidR="00BD2EAA" w:rsidRPr="000D69C5" w:rsidRDefault="00BD2EAA" w:rsidP="00BD2EAA">
            <w:pPr>
              <w:jc w:val="right"/>
              <w:rPr>
                <w:rFonts w:ascii="Candara" w:hAnsi="Candara"/>
                <w:sz w:val="22"/>
                <w:szCs w:val="22"/>
              </w:rPr>
            </w:pPr>
            <w:r w:rsidRPr="000D69C5">
              <w:rPr>
                <w:rFonts w:ascii="Candara" w:hAnsi="Candara"/>
                <w:sz w:val="22"/>
                <w:szCs w:val="22"/>
              </w:rPr>
              <w:t>1,4</w:t>
            </w:r>
          </w:p>
        </w:tc>
      </w:tr>
      <w:tr w:rsidR="00BD2EAA" w:rsidRPr="000424B5" w:rsidTr="00BD2EAA">
        <w:trPr>
          <w:trHeight w:val="20"/>
        </w:trPr>
        <w:tc>
          <w:tcPr>
            <w:tcW w:w="1464" w:type="pct"/>
            <w:noWrap/>
          </w:tcPr>
          <w:p w:rsidR="00BD2EAA" w:rsidRPr="000D69C5" w:rsidRDefault="00BD2EAA" w:rsidP="00312EB3">
            <w:pPr>
              <w:rPr>
                <w:rFonts w:ascii="Candara" w:hAnsi="Candara"/>
                <w:b/>
                <w:bCs/>
                <w:sz w:val="22"/>
                <w:szCs w:val="22"/>
              </w:rPr>
            </w:pPr>
            <w:r w:rsidRPr="000D69C5">
              <w:rPr>
                <w:rFonts w:ascii="Candara" w:hAnsi="Candara"/>
                <w:b/>
                <w:sz w:val="22"/>
                <w:szCs w:val="22"/>
              </w:rPr>
              <w:t>Canarias</w:t>
            </w:r>
          </w:p>
        </w:tc>
        <w:tc>
          <w:tcPr>
            <w:tcW w:w="1178" w:type="pct"/>
          </w:tcPr>
          <w:p w:rsidR="00BD2EAA" w:rsidRPr="000D69C5" w:rsidRDefault="00BD2EAA" w:rsidP="00BD2EAA">
            <w:pPr>
              <w:jc w:val="right"/>
              <w:rPr>
                <w:rFonts w:ascii="Candara" w:hAnsi="Candara"/>
                <w:sz w:val="22"/>
                <w:szCs w:val="22"/>
              </w:rPr>
            </w:pPr>
            <w:r w:rsidRPr="000D69C5">
              <w:rPr>
                <w:rFonts w:ascii="Candara" w:hAnsi="Candara"/>
                <w:sz w:val="22"/>
                <w:szCs w:val="22"/>
              </w:rPr>
              <w:t>62</w:t>
            </w:r>
          </w:p>
        </w:tc>
        <w:tc>
          <w:tcPr>
            <w:tcW w:w="1179" w:type="pct"/>
          </w:tcPr>
          <w:p w:rsidR="00BD2EAA" w:rsidRPr="000D69C5" w:rsidRDefault="00BD2EAA" w:rsidP="00BD2EAA">
            <w:pPr>
              <w:jc w:val="right"/>
              <w:rPr>
                <w:rFonts w:ascii="Candara" w:hAnsi="Candara"/>
                <w:sz w:val="22"/>
                <w:szCs w:val="22"/>
              </w:rPr>
            </w:pPr>
            <w:r w:rsidRPr="000D69C5">
              <w:rPr>
                <w:rFonts w:ascii="Candara" w:hAnsi="Candara"/>
                <w:sz w:val="22"/>
                <w:szCs w:val="22"/>
              </w:rPr>
              <w:t>52</w:t>
            </w:r>
          </w:p>
        </w:tc>
        <w:tc>
          <w:tcPr>
            <w:tcW w:w="1179" w:type="pct"/>
          </w:tcPr>
          <w:p w:rsidR="00BD2EAA" w:rsidRPr="000D69C5" w:rsidRDefault="00BD2EAA" w:rsidP="00BD2EAA">
            <w:pPr>
              <w:jc w:val="right"/>
              <w:rPr>
                <w:rFonts w:ascii="Candara" w:hAnsi="Candara"/>
                <w:sz w:val="22"/>
                <w:szCs w:val="22"/>
              </w:rPr>
            </w:pPr>
            <w:r w:rsidRPr="000D69C5">
              <w:rPr>
                <w:rFonts w:ascii="Candara" w:hAnsi="Candara"/>
                <w:sz w:val="22"/>
                <w:szCs w:val="22"/>
              </w:rPr>
              <w:t>-16,1</w:t>
            </w:r>
          </w:p>
        </w:tc>
      </w:tr>
      <w:tr w:rsidR="00BD2EAA" w:rsidRPr="000424B5" w:rsidTr="00BD2EAA">
        <w:trPr>
          <w:trHeight w:val="20"/>
        </w:trPr>
        <w:tc>
          <w:tcPr>
            <w:tcW w:w="1464" w:type="pct"/>
            <w:noWrap/>
          </w:tcPr>
          <w:p w:rsidR="00BD2EAA" w:rsidRPr="000D69C5" w:rsidRDefault="00BD2EAA" w:rsidP="00312EB3">
            <w:pPr>
              <w:rPr>
                <w:rFonts w:ascii="Candara" w:hAnsi="Candara"/>
                <w:b/>
                <w:bCs/>
                <w:sz w:val="22"/>
                <w:szCs w:val="22"/>
              </w:rPr>
            </w:pPr>
            <w:r w:rsidRPr="000D69C5">
              <w:rPr>
                <w:rFonts w:ascii="Candara" w:hAnsi="Candara"/>
                <w:b/>
                <w:sz w:val="22"/>
                <w:szCs w:val="22"/>
              </w:rPr>
              <w:t>Cantabria</w:t>
            </w:r>
          </w:p>
        </w:tc>
        <w:tc>
          <w:tcPr>
            <w:tcW w:w="1178" w:type="pct"/>
          </w:tcPr>
          <w:p w:rsidR="00BD2EAA" w:rsidRPr="000D69C5" w:rsidRDefault="00BD2EAA" w:rsidP="00BD2EAA">
            <w:pPr>
              <w:jc w:val="right"/>
              <w:rPr>
                <w:rFonts w:ascii="Candara" w:hAnsi="Candara"/>
                <w:sz w:val="22"/>
                <w:szCs w:val="22"/>
              </w:rPr>
            </w:pPr>
            <w:r w:rsidRPr="000D69C5">
              <w:rPr>
                <w:rFonts w:ascii="Candara" w:hAnsi="Candara"/>
                <w:sz w:val="22"/>
                <w:szCs w:val="22"/>
              </w:rPr>
              <w:t>4</w:t>
            </w:r>
          </w:p>
        </w:tc>
        <w:tc>
          <w:tcPr>
            <w:tcW w:w="1179" w:type="pct"/>
          </w:tcPr>
          <w:p w:rsidR="00BD2EAA" w:rsidRPr="000D69C5" w:rsidRDefault="00BD2EAA" w:rsidP="00BD2EAA">
            <w:pPr>
              <w:jc w:val="right"/>
              <w:rPr>
                <w:rFonts w:ascii="Candara" w:hAnsi="Candara"/>
                <w:sz w:val="22"/>
                <w:szCs w:val="22"/>
              </w:rPr>
            </w:pPr>
            <w:r w:rsidRPr="000D69C5">
              <w:rPr>
                <w:rFonts w:ascii="Candara" w:hAnsi="Candara"/>
                <w:sz w:val="22"/>
                <w:szCs w:val="22"/>
              </w:rPr>
              <w:t>18</w:t>
            </w:r>
          </w:p>
        </w:tc>
        <w:tc>
          <w:tcPr>
            <w:tcW w:w="1179" w:type="pct"/>
          </w:tcPr>
          <w:p w:rsidR="00BD2EAA" w:rsidRPr="000D69C5" w:rsidRDefault="00BD2EAA" w:rsidP="00BD2EAA">
            <w:pPr>
              <w:jc w:val="right"/>
              <w:rPr>
                <w:rFonts w:ascii="Candara" w:hAnsi="Candara"/>
                <w:sz w:val="22"/>
                <w:szCs w:val="22"/>
              </w:rPr>
            </w:pPr>
            <w:r w:rsidRPr="000D69C5">
              <w:rPr>
                <w:rFonts w:ascii="Candara" w:hAnsi="Candara"/>
                <w:sz w:val="22"/>
                <w:szCs w:val="22"/>
              </w:rPr>
              <w:t>319,4</w:t>
            </w:r>
          </w:p>
        </w:tc>
      </w:tr>
      <w:tr w:rsidR="00BD2EAA" w:rsidRPr="000424B5" w:rsidTr="00BD2EAA">
        <w:trPr>
          <w:trHeight w:val="20"/>
        </w:trPr>
        <w:tc>
          <w:tcPr>
            <w:tcW w:w="1464" w:type="pct"/>
            <w:noWrap/>
          </w:tcPr>
          <w:p w:rsidR="00BD2EAA" w:rsidRPr="000D69C5" w:rsidRDefault="00BD2EAA" w:rsidP="00312EB3">
            <w:pPr>
              <w:rPr>
                <w:rFonts w:ascii="Candara" w:hAnsi="Candara"/>
                <w:b/>
                <w:bCs/>
                <w:sz w:val="22"/>
                <w:szCs w:val="22"/>
              </w:rPr>
            </w:pPr>
            <w:r w:rsidRPr="000D69C5">
              <w:rPr>
                <w:rFonts w:ascii="Candara" w:hAnsi="Candara"/>
                <w:b/>
                <w:sz w:val="22"/>
                <w:szCs w:val="22"/>
              </w:rPr>
              <w:t xml:space="preserve">Castilla - La Mancha </w:t>
            </w:r>
          </w:p>
        </w:tc>
        <w:tc>
          <w:tcPr>
            <w:tcW w:w="1178" w:type="pct"/>
          </w:tcPr>
          <w:p w:rsidR="00BD2EAA" w:rsidRPr="000D69C5" w:rsidRDefault="00BD2EAA" w:rsidP="00BD2EAA">
            <w:pPr>
              <w:jc w:val="right"/>
              <w:rPr>
                <w:rFonts w:ascii="Candara" w:hAnsi="Candara"/>
                <w:sz w:val="22"/>
                <w:szCs w:val="22"/>
              </w:rPr>
            </w:pPr>
            <w:r w:rsidRPr="000D69C5">
              <w:rPr>
                <w:rFonts w:ascii="Candara" w:hAnsi="Candara"/>
                <w:sz w:val="22"/>
                <w:szCs w:val="22"/>
              </w:rPr>
              <w:t>24</w:t>
            </w:r>
          </w:p>
        </w:tc>
        <w:tc>
          <w:tcPr>
            <w:tcW w:w="1179" w:type="pct"/>
          </w:tcPr>
          <w:p w:rsidR="00BD2EAA" w:rsidRPr="000D69C5" w:rsidRDefault="00BD2EAA" w:rsidP="00BD2EAA">
            <w:pPr>
              <w:jc w:val="right"/>
              <w:rPr>
                <w:rFonts w:ascii="Candara" w:hAnsi="Candara"/>
                <w:sz w:val="22"/>
                <w:szCs w:val="22"/>
              </w:rPr>
            </w:pPr>
            <w:r w:rsidRPr="000D69C5">
              <w:rPr>
                <w:rFonts w:ascii="Candara" w:hAnsi="Candara"/>
                <w:sz w:val="22"/>
                <w:szCs w:val="22"/>
              </w:rPr>
              <w:t>33</w:t>
            </w:r>
          </w:p>
        </w:tc>
        <w:tc>
          <w:tcPr>
            <w:tcW w:w="1179" w:type="pct"/>
          </w:tcPr>
          <w:p w:rsidR="00BD2EAA" w:rsidRPr="000D69C5" w:rsidRDefault="00BD2EAA" w:rsidP="00BD2EAA">
            <w:pPr>
              <w:jc w:val="right"/>
              <w:rPr>
                <w:rFonts w:ascii="Candara" w:hAnsi="Candara"/>
                <w:sz w:val="22"/>
                <w:szCs w:val="22"/>
              </w:rPr>
            </w:pPr>
            <w:r w:rsidRPr="000D69C5">
              <w:rPr>
                <w:rFonts w:ascii="Candara" w:hAnsi="Candara"/>
                <w:sz w:val="22"/>
                <w:szCs w:val="22"/>
              </w:rPr>
              <w:t>40,7</w:t>
            </w:r>
          </w:p>
        </w:tc>
      </w:tr>
      <w:tr w:rsidR="00BD2EAA" w:rsidRPr="000424B5" w:rsidTr="00BD2EAA">
        <w:trPr>
          <w:trHeight w:val="20"/>
        </w:trPr>
        <w:tc>
          <w:tcPr>
            <w:tcW w:w="1464" w:type="pct"/>
            <w:noWrap/>
          </w:tcPr>
          <w:p w:rsidR="00BD2EAA" w:rsidRPr="000D69C5" w:rsidRDefault="00BD2EAA" w:rsidP="00312EB3">
            <w:pPr>
              <w:rPr>
                <w:rFonts w:ascii="Candara" w:hAnsi="Candara"/>
                <w:b/>
                <w:bCs/>
                <w:sz w:val="22"/>
                <w:szCs w:val="22"/>
              </w:rPr>
            </w:pPr>
            <w:r w:rsidRPr="000D69C5">
              <w:rPr>
                <w:rFonts w:ascii="Candara" w:hAnsi="Candara"/>
                <w:b/>
                <w:sz w:val="22"/>
                <w:szCs w:val="22"/>
              </w:rPr>
              <w:t>Castilla y León</w:t>
            </w:r>
          </w:p>
        </w:tc>
        <w:tc>
          <w:tcPr>
            <w:tcW w:w="1178" w:type="pct"/>
          </w:tcPr>
          <w:p w:rsidR="00BD2EAA" w:rsidRPr="000D69C5" w:rsidRDefault="00BD2EAA" w:rsidP="00BD2EAA">
            <w:pPr>
              <w:jc w:val="right"/>
              <w:rPr>
                <w:rFonts w:ascii="Candara" w:hAnsi="Candara"/>
                <w:sz w:val="22"/>
                <w:szCs w:val="22"/>
              </w:rPr>
            </w:pPr>
            <w:r w:rsidRPr="000D69C5">
              <w:rPr>
                <w:rFonts w:ascii="Candara" w:hAnsi="Candara"/>
                <w:sz w:val="22"/>
                <w:szCs w:val="22"/>
              </w:rPr>
              <w:t>128</w:t>
            </w:r>
          </w:p>
        </w:tc>
        <w:tc>
          <w:tcPr>
            <w:tcW w:w="1179" w:type="pct"/>
          </w:tcPr>
          <w:p w:rsidR="00BD2EAA" w:rsidRPr="000D69C5" w:rsidRDefault="00BD2EAA" w:rsidP="00BD2EAA">
            <w:pPr>
              <w:jc w:val="right"/>
              <w:rPr>
                <w:rFonts w:ascii="Candara" w:hAnsi="Candara"/>
                <w:sz w:val="22"/>
                <w:szCs w:val="22"/>
              </w:rPr>
            </w:pPr>
            <w:r w:rsidRPr="000D69C5">
              <w:rPr>
                <w:rFonts w:ascii="Candara" w:hAnsi="Candara"/>
                <w:sz w:val="22"/>
                <w:szCs w:val="22"/>
              </w:rPr>
              <w:t>76</w:t>
            </w:r>
          </w:p>
        </w:tc>
        <w:tc>
          <w:tcPr>
            <w:tcW w:w="1179" w:type="pct"/>
          </w:tcPr>
          <w:p w:rsidR="00BD2EAA" w:rsidRPr="000D69C5" w:rsidRDefault="00BD2EAA" w:rsidP="00BD2EAA">
            <w:pPr>
              <w:jc w:val="right"/>
              <w:rPr>
                <w:rFonts w:ascii="Candara" w:hAnsi="Candara"/>
                <w:sz w:val="22"/>
                <w:szCs w:val="22"/>
              </w:rPr>
            </w:pPr>
            <w:r w:rsidRPr="000D69C5">
              <w:rPr>
                <w:rFonts w:ascii="Candara" w:hAnsi="Candara"/>
                <w:sz w:val="22"/>
                <w:szCs w:val="22"/>
              </w:rPr>
              <w:t>-40,9</w:t>
            </w:r>
          </w:p>
        </w:tc>
      </w:tr>
      <w:tr w:rsidR="00BD2EAA" w:rsidRPr="000424B5" w:rsidTr="00BD2EAA">
        <w:trPr>
          <w:trHeight w:val="20"/>
        </w:trPr>
        <w:tc>
          <w:tcPr>
            <w:tcW w:w="1464" w:type="pct"/>
            <w:noWrap/>
          </w:tcPr>
          <w:p w:rsidR="00BD2EAA" w:rsidRPr="000D69C5" w:rsidRDefault="00BD2EAA" w:rsidP="00312EB3">
            <w:pPr>
              <w:rPr>
                <w:rFonts w:ascii="Candara" w:hAnsi="Candara"/>
                <w:b/>
                <w:bCs/>
                <w:sz w:val="22"/>
                <w:szCs w:val="22"/>
              </w:rPr>
            </w:pPr>
            <w:r w:rsidRPr="000D69C5">
              <w:rPr>
                <w:rFonts w:ascii="Candara" w:hAnsi="Candara"/>
                <w:b/>
                <w:sz w:val="22"/>
                <w:szCs w:val="22"/>
              </w:rPr>
              <w:t>Cataluña</w:t>
            </w:r>
          </w:p>
        </w:tc>
        <w:tc>
          <w:tcPr>
            <w:tcW w:w="1178" w:type="pct"/>
          </w:tcPr>
          <w:p w:rsidR="00BD2EAA" w:rsidRPr="000D69C5" w:rsidRDefault="00BD2EAA" w:rsidP="00BD2EAA">
            <w:pPr>
              <w:jc w:val="right"/>
              <w:rPr>
                <w:rFonts w:ascii="Candara" w:hAnsi="Candara"/>
                <w:sz w:val="22"/>
                <w:szCs w:val="22"/>
              </w:rPr>
            </w:pPr>
            <w:r w:rsidRPr="000D69C5">
              <w:rPr>
                <w:rFonts w:ascii="Candara" w:hAnsi="Candara"/>
                <w:sz w:val="22"/>
                <w:szCs w:val="22"/>
              </w:rPr>
              <w:t>211</w:t>
            </w:r>
          </w:p>
        </w:tc>
        <w:tc>
          <w:tcPr>
            <w:tcW w:w="1179" w:type="pct"/>
          </w:tcPr>
          <w:p w:rsidR="00BD2EAA" w:rsidRPr="000D69C5" w:rsidRDefault="00BD2EAA" w:rsidP="00BD2EAA">
            <w:pPr>
              <w:jc w:val="right"/>
              <w:rPr>
                <w:rFonts w:ascii="Candara" w:hAnsi="Candara"/>
                <w:sz w:val="22"/>
                <w:szCs w:val="22"/>
              </w:rPr>
            </w:pPr>
            <w:r w:rsidRPr="000D69C5">
              <w:rPr>
                <w:rFonts w:ascii="Candara" w:hAnsi="Candara"/>
                <w:sz w:val="22"/>
                <w:szCs w:val="22"/>
              </w:rPr>
              <w:t>408</w:t>
            </w:r>
          </w:p>
        </w:tc>
        <w:tc>
          <w:tcPr>
            <w:tcW w:w="1179" w:type="pct"/>
          </w:tcPr>
          <w:p w:rsidR="00BD2EAA" w:rsidRPr="000D69C5" w:rsidRDefault="00BD2EAA" w:rsidP="00BD2EAA">
            <w:pPr>
              <w:jc w:val="right"/>
              <w:rPr>
                <w:rFonts w:ascii="Candara" w:hAnsi="Candara"/>
                <w:sz w:val="22"/>
                <w:szCs w:val="22"/>
              </w:rPr>
            </w:pPr>
            <w:r w:rsidRPr="000D69C5">
              <w:rPr>
                <w:rFonts w:ascii="Candara" w:hAnsi="Candara"/>
                <w:sz w:val="22"/>
                <w:szCs w:val="22"/>
              </w:rPr>
              <w:t>93,4</w:t>
            </w:r>
          </w:p>
        </w:tc>
      </w:tr>
      <w:tr w:rsidR="00BD2EAA" w:rsidRPr="000424B5" w:rsidTr="00BD2EAA">
        <w:trPr>
          <w:trHeight w:val="20"/>
        </w:trPr>
        <w:tc>
          <w:tcPr>
            <w:tcW w:w="1464" w:type="pct"/>
            <w:noWrap/>
          </w:tcPr>
          <w:p w:rsidR="00BD2EAA" w:rsidRPr="000D69C5" w:rsidRDefault="00BD2EAA" w:rsidP="00312EB3">
            <w:pPr>
              <w:rPr>
                <w:rFonts w:ascii="Candara" w:hAnsi="Candara"/>
                <w:b/>
                <w:bCs/>
                <w:sz w:val="22"/>
                <w:szCs w:val="22"/>
              </w:rPr>
            </w:pPr>
            <w:r w:rsidRPr="000D69C5">
              <w:rPr>
                <w:rFonts w:ascii="Candara" w:hAnsi="Candara"/>
                <w:b/>
                <w:sz w:val="22"/>
                <w:szCs w:val="22"/>
              </w:rPr>
              <w:t>C. Valenciana</w:t>
            </w:r>
          </w:p>
        </w:tc>
        <w:tc>
          <w:tcPr>
            <w:tcW w:w="1178" w:type="pct"/>
          </w:tcPr>
          <w:p w:rsidR="00BD2EAA" w:rsidRPr="000D69C5" w:rsidRDefault="00BD2EAA" w:rsidP="00BD2EAA">
            <w:pPr>
              <w:jc w:val="right"/>
              <w:rPr>
                <w:rFonts w:ascii="Candara" w:hAnsi="Candara"/>
                <w:sz w:val="22"/>
                <w:szCs w:val="22"/>
              </w:rPr>
            </w:pPr>
            <w:r w:rsidRPr="000D69C5">
              <w:rPr>
                <w:rFonts w:ascii="Candara" w:hAnsi="Candara"/>
                <w:sz w:val="22"/>
                <w:szCs w:val="22"/>
              </w:rPr>
              <w:t>46</w:t>
            </w:r>
          </w:p>
        </w:tc>
        <w:tc>
          <w:tcPr>
            <w:tcW w:w="1179" w:type="pct"/>
          </w:tcPr>
          <w:p w:rsidR="00BD2EAA" w:rsidRPr="000D69C5" w:rsidRDefault="00BD2EAA" w:rsidP="00BD2EAA">
            <w:pPr>
              <w:jc w:val="right"/>
              <w:rPr>
                <w:rFonts w:ascii="Candara" w:hAnsi="Candara"/>
                <w:sz w:val="22"/>
                <w:szCs w:val="22"/>
              </w:rPr>
            </w:pPr>
            <w:r w:rsidRPr="000D69C5">
              <w:rPr>
                <w:rFonts w:ascii="Candara" w:hAnsi="Candara"/>
                <w:sz w:val="22"/>
                <w:szCs w:val="22"/>
              </w:rPr>
              <w:t>115</w:t>
            </w:r>
          </w:p>
        </w:tc>
        <w:tc>
          <w:tcPr>
            <w:tcW w:w="1179" w:type="pct"/>
          </w:tcPr>
          <w:p w:rsidR="00BD2EAA" w:rsidRPr="000D69C5" w:rsidRDefault="00BD2EAA" w:rsidP="00BD2EAA">
            <w:pPr>
              <w:jc w:val="right"/>
              <w:rPr>
                <w:rFonts w:ascii="Candara" w:hAnsi="Candara"/>
                <w:sz w:val="22"/>
                <w:szCs w:val="22"/>
              </w:rPr>
            </w:pPr>
            <w:r w:rsidRPr="000D69C5">
              <w:rPr>
                <w:rFonts w:ascii="Candara" w:hAnsi="Candara"/>
                <w:sz w:val="22"/>
                <w:szCs w:val="22"/>
              </w:rPr>
              <w:t>149</w:t>
            </w:r>
          </w:p>
        </w:tc>
      </w:tr>
      <w:tr w:rsidR="00BD2EAA" w:rsidRPr="000424B5" w:rsidTr="00BD2EAA">
        <w:trPr>
          <w:trHeight w:val="20"/>
        </w:trPr>
        <w:tc>
          <w:tcPr>
            <w:tcW w:w="1464" w:type="pct"/>
            <w:noWrap/>
          </w:tcPr>
          <w:p w:rsidR="00BD2EAA" w:rsidRPr="000D69C5" w:rsidRDefault="00BD2EAA" w:rsidP="00312EB3">
            <w:pPr>
              <w:rPr>
                <w:rFonts w:ascii="Candara" w:hAnsi="Candara"/>
                <w:b/>
                <w:bCs/>
                <w:sz w:val="22"/>
                <w:szCs w:val="22"/>
              </w:rPr>
            </w:pPr>
            <w:r w:rsidRPr="000D69C5">
              <w:rPr>
                <w:rFonts w:ascii="Candara" w:hAnsi="Candara"/>
                <w:b/>
                <w:sz w:val="22"/>
                <w:szCs w:val="22"/>
              </w:rPr>
              <w:t>Extremadura</w:t>
            </w:r>
          </w:p>
        </w:tc>
        <w:tc>
          <w:tcPr>
            <w:tcW w:w="1178" w:type="pct"/>
          </w:tcPr>
          <w:p w:rsidR="00BD2EAA" w:rsidRPr="000D69C5" w:rsidRDefault="00BD2EAA" w:rsidP="00BD2EAA">
            <w:pPr>
              <w:jc w:val="right"/>
              <w:rPr>
                <w:rFonts w:ascii="Candara" w:hAnsi="Candara"/>
                <w:sz w:val="22"/>
                <w:szCs w:val="22"/>
              </w:rPr>
            </w:pPr>
            <w:r w:rsidRPr="000D69C5">
              <w:rPr>
                <w:rFonts w:ascii="Candara" w:hAnsi="Candara"/>
                <w:sz w:val="22"/>
                <w:szCs w:val="22"/>
              </w:rPr>
              <w:t>10</w:t>
            </w:r>
          </w:p>
        </w:tc>
        <w:tc>
          <w:tcPr>
            <w:tcW w:w="1179" w:type="pct"/>
          </w:tcPr>
          <w:p w:rsidR="00BD2EAA" w:rsidRPr="000D69C5" w:rsidRDefault="00BD2EAA" w:rsidP="00BD2EAA">
            <w:pPr>
              <w:jc w:val="right"/>
              <w:rPr>
                <w:rFonts w:ascii="Candara" w:hAnsi="Candara"/>
                <w:sz w:val="22"/>
                <w:szCs w:val="22"/>
              </w:rPr>
            </w:pPr>
            <w:r w:rsidRPr="000D69C5">
              <w:rPr>
                <w:rFonts w:ascii="Candara" w:hAnsi="Candara"/>
                <w:sz w:val="22"/>
                <w:szCs w:val="22"/>
              </w:rPr>
              <w:t>43</w:t>
            </w:r>
          </w:p>
        </w:tc>
        <w:tc>
          <w:tcPr>
            <w:tcW w:w="1179" w:type="pct"/>
          </w:tcPr>
          <w:p w:rsidR="00BD2EAA" w:rsidRPr="000D69C5" w:rsidRDefault="00BD2EAA" w:rsidP="00BD2EAA">
            <w:pPr>
              <w:jc w:val="right"/>
              <w:rPr>
                <w:rFonts w:ascii="Candara" w:hAnsi="Candara"/>
                <w:sz w:val="22"/>
                <w:szCs w:val="22"/>
              </w:rPr>
            </w:pPr>
            <w:r w:rsidRPr="000D69C5">
              <w:rPr>
                <w:rFonts w:ascii="Candara" w:hAnsi="Candara"/>
                <w:sz w:val="22"/>
                <w:szCs w:val="22"/>
              </w:rPr>
              <w:t>327</w:t>
            </w:r>
          </w:p>
        </w:tc>
      </w:tr>
      <w:tr w:rsidR="00BD2EAA" w:rsidRPr="000424B5" w:rsidTr="00BD2EAA">
        <w:trPr>
          <w:trHeight w:val="20"/>
        </w:trPr>
        <w:tc>
          <w:tcPr>
            <w:tcW w:w="1464" w:type="pct"/>
            <w:noWrap/>
          </w:tcPr>
          <w:p w:rsidR="00BD2EAA" w:rsidRPr="000D69C5" w:rsidRDefault="00BD2EAA" w:rsidP="00312EB3">
            <w:pPr>
              <w:rPr>
                <w:rFonts w:ascii="Candara" w:hAnsi="Candara"/>
                <w:b/>
                <w:bCs/>
                <w:sz w:val="22"/>
                <w:szCs w:val="22"/>
              </w:rPr>
            </w:pPr>
            <w:r w:rsidRPr="000D69C5">
              <w:rPr>
                <w:rFonts w:ascii="Candara" w:hAnsi="Candara"/>
                <w:b/>
                <w:sz w:val="22"/>
                <w:szCs w:val="22"/>
              </w:rPr>
              <w:t>Galicia</w:t>
            </w:r>
          </w:p>
        </w:tc>
        <w:tc>
          <w:tcPr>
            <w:tcW w:w="1178" w:type="pct"/>
          </w:tcPr>
          <w:p w:rsidR="00BD2EAA" w:rsidRPr="000D69C5" w:rsidRDefault="00BD2EAA" w:rsidP="00BD2EAA">
            <w:pPr>
              <w:jc w:val="right"/>
              <w:rPr>
                <w:rFonts w:ascii="Candara" w:hAnsi="Candara"/>
                <w:sz w:val="22"/>
                <w:szCs w:val="22"/>
              </w:rPr>
            </w:pPr>
            <w:r w:rsidRPr="000D69C5">
              <w:rPr>
                <w:rFonts w:ascii="Candara" w:hAnsi="Candara"/>
                <w:sz w:val="22"/>
                <w:szCs w:val="22"/>
              </w:rPr>
              <w:t>118</w:t>
            </w:r>
          </w:p>
        </w:tc>
        <w:tc>
          <w:tcPr>
            <w:tcW w:w="1179" w:type="pct"/>
          </w:tcPr>
          <w:p w:rsidR="00BD2EAA" w:rsidRPr="000D69C5" w:rsidRDefault="00BD2EAA" w:rsidP="00BD2EAA">
            <w:pPr>
              <w:jc w:val="right"/>
              <w:rPr>
                <w:rFonts w:ascii="Candara" w:hAnsi="Candara"/>
                <w:sz w:val="22"/>
                <w:szCs w:val="22"/>
              </w:rPr>
            </w:pPr>
            <w:r w:rsidRPr="000D69C5">
              <w:rPr>
                <w:rFonts w:ascii="Candara" w:hAnsi="Candara"/>
                <w:sz w:val="22"/>
                <w:szCs w:val="22"/>
              </w:rPr>
              <w:t>193</w:t>
            </w:r>
          </w:p>
        </w:tc>
        <w:tc>
          <w:tcPr>
            <w:tcW w:w="1179" w:type="pct"/>
          </w:tcPr>
          <w:p w:rsidR="00BD2EAA" w:rsidRPr="000D69C5" w:rsidRDefault="00BD2EAA" w:rsidP="00BD2EAA">
            <w:pPr>
              <w:jc w:val="right"/>
              <w:rPr>
                <w:rFonts w:ascii="Candara" w:hAnsi="Candara"/>
                <w:sz w:val="22"/>
                <w:szCs w:val="22"/>
              </w:rPr>
            </w:pPr>
            <w:r w:rsidRPr="000D69C5">
              <w:rPr>
                <w:rFonts w:ascii="Candara" w:hAnsi="Candara"/>
                <w:sz w:val="22"/>
                <w:szCs w:val="22"/>
              </w:rPr>
              <w:t>63,9</w:t>
            </w:r>
          </w:p>
        </w:tc>
      </w:tr>
      <w:tr w:rsidR="00BD2EAA" w:rsidRPr="000424B5" w:rsidTr="00BD2EAA">
        <w:trPr>
          <w:trHeight w:val="20"/>
        </w:trPr>
        <w:tc>
          <w:tcPr>
            <w:tcW w:w="1464" w:type="pct"/>
            <w:noWrap/>
          </w:tcPr>
          <w:p w:rsidR="00BD2EAA" w:rsidRPr="000D69C5" w:rsidRDefault="00BD2EAA" w:rsidP="00312EB3">
            <w:pPr>
              <w:rPr>
                <w:rFonts w:ascii="Candara" w:hAnsi="Candara"/>
                <w:b/>
                <w:bCs/>
                <w:sz w:val="22"/>
                <w:szCs w:val="22"/>
              </w:rPr>
            </w:pPr>
            <w:r w:rsidRPr="000D69C5">
              <w:rPr>
                <w:rFonts w:ascii="Candara" w:hAnsi="Candara"/>
                <w:b/>
                <w:sz w:val="22"/>
                <w:szCs w:val="22"/>
              </w:rPr>
              <w:t>Madrid</w:t>
            </w:r>
          </w:p>
        </w:tc>
        <w:tc>
          <w:tcPr>
            <w:tcW w:w="1178" w:type="pct"/>
          </w:tcPr>
          <w:p w:rsidR="00BD2EAA" w:rsidRPr="000D69C5" w:rsidRDefault="00BD2EAA" w:rsidP="00BD2EAA">
            <w:pPr>
              <w:jc w:val="right"/>
              <w:rPr>
                <w:rFonts w:ascii="Candara" w:hAnsi="Candara"/>
                <w:sz w:val="22"/>
                <w:szCs w:val="22"/>
              </w:rPr>
            </w:pPr>
            <w:r w:rsidRPr="000D69C5">
              <w:rPr>
                <w:rFonts w:ascii="Candara" w:hAnsi="Candara"/>
                <w:sz w:val="22"/>
                <w:szCs w:val="22"/>
              </w:rPr>
              <w:t>221</w:t>
            </w:r>
          </w:p>
        </w:tc>
        <w:tc>
          <w:tcPr>
            <w:tcW w:w="1179" w:type="pct"/>
          </w:tcPr>
          <w:p w:rsidR="00BD2EAA" w:rsidRPr="000D69C5" w:rsidRDefault="00BD2EAA" w:rsidP="00BD2EAA">
            <w:pPr>
              <w:jc w:val="right"/>
              <w:rPr>
                <w:rFonts w:ascii="Candara" w:hAnsi="Candara"/>
                <w:sz w:val="22"/>
                <w:szCs w:val="22"/>
              </w:rPr>
            </w:pPr>
            <w:r w:rsidRPr="000D69C5">
              <w:rPr>
                <w:rFonts w:ascii="Candara" w:hAnsi="Candara"/>
                <w:sz w:val="22"/>
                <w:szCs w:val="22"/>
              </w:rPr>
              <w:t>86</w:t>
            </w:r>
          </w:p>
        </w:tc>
        <w:tc>
          <w:tcPr>
            <w:tcW w:w="1179" w:type="pct"/>
          </w:tcPr>
          <w:p w:rsidR="00BD2EAA" w:rsidRPr="000D69C5" w:rsidRDefault="00BD2EAA" w:rsidP="00BD2EAA">
            <w:pPr>
              <w:jc w:val="right"/>
              <w:rPr>
                <w:rFonts w:ascii="Candara" w:hAnsi="Candara"/>
                <w:sz w:val="22"/>
                <w:szCs w:val="22"/>
              </w:rPr>
            </w:pPr>
            <w:r w:rsidRPr="000D69C5">
              <w:rPr>
                <w:rFonts w:ascii="Candara" w:hAnsi="Candara"/>
                <w:sz w:val="22"/>
                <w:szCs w:val="22"/>
              </w:rPr>
              <w:t>-61,1</w:t>
            </w:r>
          </w:p>
        </w:tc>
      </w:tr>
      <w:tr w:rsidR="00BD2EAA" w:rsidRPr="000424B5" w:rsidTr="00BD2EAA">
        <w:trPr>
          <w:trHeight w:val="20"/>
        </w:trPr>
        <w:tc>
          <w:tcPr>
            <w:tcW w:w="1464" w:type="pct"/>
            <w:noWrap/>
          </w:tcPr>
          <w:p w:rsidR="00BD2EAA" w:rsidRPr="000D69C5" w:rsidRDefault="00BD2EAA" w:rsidP="00312EB3">
            <w:pPr>
              <w:rPr>
                <w:rFonts w:ascii="Candara" w:hAnsi="Candara"/>
                <w:b/>
                <w:bCs/>
                <w:sz w:val="22"/>
                <w:szCs w:val="22"/>
              </w:rPr>
            </w:pPr>
            <w:r w:rsidRPr="000D69C5">
              <w:rPr>
                <w:rFonts w:ascii="Candara" w:hAnsi="Candara"/>
                <w:b/>
                <w:sz w:val="22"/>
                <w:szCs w:val="22"/>
              </w:rPr>
              <w:t>Murcia</w:t>
            </w:r>
          </w:p>
        </w:tc>
        <w:tc>
          <w:tcPr>
            <w:tcW w:w="1178" w:type="pct"/>
          </w:tcPr>
          <w:p w:rsidR="00BD2EAA" w:rsidRPr="000D69C5" w:rsidRDefault="00BD2EAA" w:rsidP="00BD2EAA">
            <w:pPr>
              <w:jc w:val="right"/>
              <w:rPr>
                <w:rFonts w:ascii="Candara" w:hAnsi="Candara"/>
                <w:sz w:val="22"/>
                <w:szCs w:val="22"/>
              </w:rPr>
            </w:pPr>
            <w:r w:rsidRPr="000D69C5">
              <w:rPr>
                <w:rFonts w:ascii="Candara" w:hAnsi="Candara"/>
                <w:sz w:val="22"/>
                <w:szCs w:val="22"/>
              </w:rPr>
              <w:t>41</w:t>
            </w:r>
          </w:p>
        </w:tc>
        <w:tc>
          <w:tcPr>
            <w:tcW w:w="1179" w:type="pct"/>
          </w:tcPr>
          <w:p w:rsidR="00BD2EAA" w:rsidRPr="000D69C5" w:rsidRDefault="00BD2EAA" w:rsidP="00BD2EAA">
            <w:pPr>
              <w:jc w:val="right"/>
              <w:rPr>
                <w:rFonts w:ascii="Candara" w:hAnsi="Candara"/>
                <w:sz w:val="22"/>
                <w:szCs w:val="22"/>
              </w:rPr>
            </w:pPr>
            <w:r w:rsidRPr="000D69C5">
              <w:rPr>
                <w:rFonts w:ascii="Candara" w:hAnsi="Candara"/>
                <w:sz w:val="22"/>
                <w:szCs w:val="22"/>
              </w:rPr>
              <w:t>54</w:t>
            </w:r>
          </w:p>
        </w:tc>
        <w:tc>
          <w:tcPr>
            <w:tcW w:w="1179" w:type="pct"/>
          </w:tcPr>
          <w:p w:rsidR="00BD2EAA" w:rsidRPr="000D69C5" w:rsidRDefault="00BD2EAA" w:rsidP="00BD2EAA">
            <w:pPr>
              <w:jc w:val="right"/>
              <w:rPr>
                <w:rFonts w:ascii="Candara" w:hAnsi="Candara"/>
                <w:sz w:val="22"/>
                <w:szCs w:val="22"/>
              </w:rPr>
            </w:pPr>
            <w:r w:rsidRPr="000D69C5">
              <w:rPr>
                <w:rFonts w:ascii="Candara" w:hAnsi="Candara"/>
                <w:sz w:val="22"/>
                <w:szCs w:val="22"/>
              </w:rPr>
              <w:t>29,7</w:t>
            </w:r>
          </w:p>
        </w:tc>
      </w:tr>
      <w:tr w:rsidR="00BD2EAA" w:rsidRPr="000424B5" w:rsidTr="00BD2EAA">
        <w:trPr>
          <w:trHeight w:val="20"/>
        </w:trPr>
        <w:tc>
          <w:tcPr>
            <w:tcW w:w="1464" w:type="pct"/>
            <w:noWrap/>
          </w:tcPr>
          <w:p w:rsidR="00BD2EAA" w:rsidRPr="000D69C5" w:rsidRDefault="00BD2EAA" w:rsidP="00312EB3">
            <w:pPr>
              <w:rPr>
                <w:rFonts w:ascii="Candara" w:hAnsi="Candara"/>
                <w:b/>
                <w:bCs/>
                <w:sz w:val="22"/>
                <w:szCs w:val="22"/>
              </w:rPr>
            </w:pPr>
            <w:r w:rsidRPr="000D69C5">
              <w:rPr>
                <w:rFonts w:ascii="Candara" w:hAnsi="Candara"/>
                <w:b/>
                <w:sz w:val="22"/>
                <w:szCs w:val="22"/>
              </w:rPr>
              <w:t>Navarra</w:t>
            </w:r>
          </w:p>
        </w:tc>
        <w:tc>
          <w:tcPr>
            <w:tcW w:w="1178" w:type="pct"/>
          </w:tcPr>
          <w:p w:rsidR="00BD2EAA" w:rsidRPr="000D69C5" w:rsidRDefault="00BD2EAA" w:rsidP="00BD2EAA">
            <w:pPr>
              <w:jc w:val="right"/>
              <w:rPr>
                <w:rFonts w:ascii="Candara" w:hAnsi="Candara"/>
                <w:sz w:val="22"/>
                <w:szCs w:val="22"/>
              </w:rPr>
            </w:pPr>
            <w:r w:rsidRPr="000D69C5">
              <w:rPr>
                <w:rFonts w:ascii="Candara" w:hAnsi="Candara"/>
                <w:sz w:val="22"/>
                <w:szCs w:val="22"/>
              </w:rPr>
              <w:t>17</w:t>
            </w:r>
          </w:p>
        </w:tc>
        <w:tc>
          <w:tcPr>
            <w:tcW w:w="1179" w:type="pct"/>
          </w:tcPr>
          <w:p w:rsidR="00BD2EAA" w:rsidRPr="000D69C5" w:rsidRDefault="00BD2EAA" w:rsidP="00BD2EAA">
            <w:pPr>
              <w:jc w:val="right"/>
              <w:rPr>
                <w:rFonts w:ascii="Candara" w:hAnsi="Candara"/>
                <w:sz w:val="22"/>
                <w:szCs w:val="22"/>
              </w:rPr>
            </w:pPr>
            <w:r w:rsidRPr="000D69C5">
              <w:rPr>
                <w:rFonts w:ascii="Candara" w:hAnsi="Candara"/>
                <w:sz w:val="22"/>
                <w:szCs w:val="22"/>
              </w:rPr>
              <w:t>9</w:t>
            </w:r>
          </w:p>
        </w:tc>
        <w:tc>
          <w:tcPr>
            <w:tcW w:w="1179" w:type="pct"/>
          </w:tcPr>
          <w:p w:rsidR="00BD2EAA" w:rsidRPr="000D69C5" w:rsidRDefault="00BD2EAA" w:rsidP="00BD2EAA">
            <w:pPr>
              <w:jc w:val="right"/>
              <w:rPr>
                <w:rFonts w:ascii="Candara" w:hAnsi="Candara"/>
                <w:sz w:val="22"/>
                <w:szCs w:val="22"/>
              </w:rPr>
            </w:pPr>
            <w:r w:rsidRPr="000D69C5">
              <w:rPr>
                <w:rFonts w:ascii="Candara" w:hAnsi="Candara"/>
                <w:sz w:val="22"/>
                <w:szCs w:val="22"/>
              </w:rPr>
              <w:t>-46,9</w:t>
            </w:r>
          </w:p>
        </w:tc>
      </w:tr>
      <w:tr w:rsidR="00BD2EAA" w:rsidRPr="000424B5" w:rsidTr="00BD2EAA">
        <w:trPr>
          <w:trHeight w:val="20"/>
        </w:trPr>
        <w:tc>
          <w:tcPr>
            <w:tcW w:w="1464" w:type="pct"/>
            <w:noWrap/>
          </w:tcPr>
          <w:p w:rsidR="00BD2EAA" w:rsidRPr="000D69C5" w:rsidRDefault="00BD2EAA" w:rsidP="00312EB3">
            <w:pPr>
              <w:rPr>
                <w:rFonts w:ascii="Candara" w:hAnsi="Candara"/>
                <w:b/>
                <w:bCs/>
                <w:sz w:val="22"/>
                <w:szCs w:val="22"/>
              </w:rPr>
            </w:pPr>
            <w:r w:rsidRPr="000D69C5">
              <w:rPr>
                <w:rFonts w:ascii="Candara" w:hAnsi="Candara"/>
                <w:b/>
                <w:sz w:val="22"/>
                <w:szCs w:val="22"/>
              </w:rPr>
              <w:t>País Vasco</w:t>
            </w:r>
          </w:p>
        </w:tc>
        <w:tc>
          <w:tcPr>
            <w:tcW w:w="1178" w:type="pct"/>
          </w:tcPr>
          <w:p w:rsidR="00BD2EAA" w:rsidRPr="000D69C5" w:rsidRDefault="00BD2EAA" w:rsidP="00BD2EAA">
            <w:pPr>
              <w:jc w:val="right"/>
              <w:rPr>
                <w:rFonts w:ascii="Candara" w:hAnsi="Candara"/>
                <w:sz w:val="22"/>
                <w:szCs w:val="22"/>
              </w:rPr>
            </w:pPr>
            <w:r w:rsidRPr="000D69C5">
              <w:rPr>
                <w:rFonts w:ascii="Candara" w:hAnsi="Candara"/>
                <w:sz w:val="22"/>
                <w:szCs w:val="22"/>
              </w:rPr>
              <w:t>541</w:t>
            </w:r>
          </w:p>
        </w:tc>
        <w:tc>
          <w:tcPr>
            <w:tcW w:w="1179" w:type="pct"/>
          </w:tcPr>
          <w:p w:rsidR="00BD2EAA" w:rsidRPr="000D69C5" w:rsidRDefault="00BD2EAA" w:rsidP="00BD2EAA">
            <w:pPr>
              <w:jc w:val="right"/>
              <w:rPr>
                <w:rFonts w:ascii="Candara" w:hAnsi="Candara"/>
                <w:sz w:val="22"/>
                <w:szCs w:val="22"/>
              </w:rPr>
            </w:pPr>
            <w:r w:rsidRPr="000D69C5">
              <w:rPr>
                <w:rFonts w:ascii="Candara" w:hAnsi="Candara"/>
                <w:sz w:val="22"/>
                <w:szCs w:val="22"/>
              </w:rPr>
              <w:t>111</w:t>
            </w:r>
          </w:p>
        </w:tc>
        <w:tc>
          <w:tcPr>
            <w:tcW w:w="1179" w:type="pct"/>
          </w:tcPr>
          <w:p w:rsidR="00BD2EAA" w:rsidRPr="000D69C5" w:rsidRDefault="00BD2EAA" w:rsidP="00BD2EAA">
            <w:pPr>
              <w:jc w:val="right"/>
              <w:rPr>
                <w:rFonts w:ascii="Candara" w:hAnsi="Candara"/>
                <w:sz w:val="22"/>
                <w:szCs w:val="22"/>
              </w:rPr>
            </w:pPr>
            <w:r w:rsidRPr="000D69C5">
              <w:rPr>
                <w:rFonts w:ascii="Candara" w:hAnsi="Candara"/>
                <w:sz w:val="22"/>
                <w:szCs w:val="22"/>
              </w:rPr>
              <w:t>-79,6</w:t>
            </w:r>
          </w:p>
        </w:tc>
      </w:tr>
      <w:tr w:rsidR="00BD2EAA" w:rsidRPr="000424B5" w:rsidTr="00BD2EAA">
        <w:trPr>
          <w:trHeight w:val="20"/>
        </w:trPr>
        <w:tc>
          <w:tcPr>
            <w:tcW w:w="1464" w:type="pct"/>
            <w:noWrap/>
          </w:tcPr>
          <w:p w:rsidR="00BD2EAA" w:rsidRPr="000D69C5" w:rsidRDefault="00BD2EAA" w:rsidP="00312EB3">
            <w:pPr>
              <w:rPr>
                <w:rFonts w:ascii="Candara" w:hAnsi="Candara"/>
                <w:b/>
                <w:bCs/>
                <w:sz w:val="22"/>
                <w:szCs w:val="22"/>
              </w:rPr>
            </w:pPr>
            <w:r w:rsidRPr="000D69C5">
              <w:rPr>
                <w:rFonts w:ascii="Candara" w:hAnsi="Candara"/>
                <w:b/>
                <w:sz w:val="22"/>
                <w:szCs w:val="22"/>
              </w:rPr>
              <w:t>La Rioja</w:t>
            </w:r>
          </w:p>
        </w:tc>
        <w:tc>
          <w:tcPr>
            <w:tcW w:w="1178" w:type="pct"/>
          </w:tcPr>
          <w:p w:rsidR="00BD2EAA" w:rsidRPr="000D69C5" w:rsidRDefault="00BD2EAA" w:rsidP="00BD2EAA">
            <w:pPr>
              <w:jc w:val="right"/>
              <w:rPr>
                <w:rFonts w:ascii="Candara" w:hAnsi="Candara"/>
                <w:sz w:val="22"/>
                <w:szCs w:val="22"/>
              </w:rPr>
            </w:pPr>
            <w:r w:rsidRPr="000D69C5">
              <w:rPr>
                <w:rFonts w:ascii="Candara" w:hAnsi="Candara"/>
                <w:sz w:val="22"/>
                <w:szCs w:val="22"/>
              </w:rPr>
              <w:t>3</w:t>
            </w:r>
          </w:p>
        </w:tc>
        <w:tc>
          <w:tcPr>
            <w:tcW w:w="1179" w:type="pct"/>
          </w:tcPr>
          <w:p w:rsidR="00BD2EAA" w:rsidRPr="000D69C5" w:rsidRDefault="00BD2EAA" w:rsidP="00BD2EAA">
            <w:pPr>
              <w:jc w:val="right"/>
              <w:rPr>
                <w:rFonts w:ascii="Candara" w:hAnsi="Candara"/>
                <w:sz w:val="22"/>
                <w:szCs w:val="22"/>
              </w:rPr>
            </w:pPr>
            <w:r w:rsidRPr="000D69C5">
              <w:rPr>
                <w:rFonts w:ascii="Candara" w:hAnsi="Candara"/>
                <w:sz w:val="22"/>
                <w:szCs w:val="22"/>
              </w:rPr>
              <w:t>38</w:t>
            </w:r>
          </w:p>
        </w:tc>
        <w:tc>
          <w:tcPr>
            <w:tcW w:w="1179" w:type="pct"/>
          </w:tcPr>
          <w:p w:rsidR="00BD2EAA" w:rsidRPr="000D69C5" w:rsidRDefault="00BD2EAA" w:rsidP="00BD2EAA">
            <w:pPr>
              <w:jc w:val="right"/>
              <w:rPr>
                <w:rFonts w:ascii="Candara" w:hAnsi="Candara"/>
                <w:sz w:val="22"/>
                <w:szCs w:val="22"/>
              </w:rPr>
            </w:pPr>
            <w:r w:rsidRPr="000D69C5">
              <w:rPr>
                <w:rFonts w:ascii="Candara" w:hAnsi="Candara"/>
                <w:sz w:val="22"/>
                <w:szCs w:val="22"/>
              </w:rPr>
              <w:t>1.134</w:t>
            </w:r>
          </w:p>
        </w:tc>
      </w:tr>
      <w:tr w:rsidR="00BD2EAA" w:rsidRPr="000424B5" w:rsidTr="00BD2EAA">
        <w:trPr>
          <w:trHeight w:val="20"/>
        </w:trPr>
        <w:tc>
          <w:tcPr>
            <w:tcW w:w="1464" w:type="pct"/>
            <w:noWrap/>
          </w:tcPr>
          <w:p w:rsidR="00BD2EAA" w:rsidRPr="000D69C5" w:rsidRDefault="00BD2EAA" w:rsidP="00312EB3">
            <w:pPr>
              <w:rPr>
                <w:rFonts w:ascii="Candara" w:hAnsi="Candara"/>
                <w:b/>
                <w:sz w:val="22"/>
                <w:szCs w:val="22"/>
              </w:rPr>
            </w:pPr>
            <w:r w:rsidRPr="000D69C5">
              <w:rPr>
                <w:rFonts w:ascii="Candara" w:hAnsi="Candara"/>
                <w:b/>
                <w:sz w:val="22"/>
                <w:szCs w:val="22"/>
              </w:rPr>
              <w:t>Ceuta y Melilla</w:t>
            </w:r>
          </w:p>
        </w:tc>
        <w:tc>
          <w:tcPr>
            <w:tcW w:w="1178" w:type="pct"/>
          </w:tcPr>
          <w:p w:rsidR="00BD2EAA" w:rsidRPr="000D69C5" w:rsidRDefault="00BD2EAA" w:rsidP="00BD2EAA">
            <w:pPr>
              <w:jc w:val="right"/>
              <w:rPr>
                <w:rFonts w:ascii="Candara" w:hAnsi="Candara"/>
                <w:sz w:val="22"/>
                <w:szCs w:val="22"/>
              </w:rPr>
            </w:pPr>
            <w:r w:rsidRPr="000D69C5">
              <w:rPr>
                <w:rFonts w:ascii="Candara" w:hAnsi="Candara"/>
                <w:sz w:val="22"/>
                <w:szCs w:val="22"/>
              </w:rPr>
              <w:t>8</w:t>
            </w:r>
          </w:p>
        </w:tc>
        <w:tc>
          <w:tcPr>
            <w:tcW w:w="1179" w:type="pct"/>
          </w:tcPr>
          <w:p w:rsidR="00BD2EAA" w:rsidRPr="000D69C5" w:rsidRDefault="00BD2EAA" w:rsidP="00BD2EAA">
            <w:pPr>
              <w:jc w:val="right"/>
              <w:rPr>
                <w:rFonts w:ascii="Candara" w:hAnsi="Candara"/>
                <w:sz w:val="22"/>
                <w:szCs w:val="22"/>
              </w:rPr>
            </w:pPr>
            <w:r w:rsidRPr="000D69C5">
              <w:rPr>
                <w:rFonts w:ascii="Candara" w:hAnsi="Candara"/>
                <w:sz w:val="22"/>
                <w:szCs w:val="22"/>
              </w:rPr>
              <w:t>2</w:t>
            </w:r>
          </w:p>
        </w:tc>
        <w:tc>
          <w:tcPr>
            <w:tcW w:w="1179" w:type="pct"/>
          </w:tcPr>
          <w:p w:rsidR="00BD2EAA" w:rsidRPr="000D69C5" w:rsidRDefault="00BD2EAA" w:rsidP="00BD2EAA">
            <w:pPr>
              <w:jc w:val="right"/>
              <w:rPr>
                <w:rFonts w:ascii="Candara" w:hAnsi="Candara"/>
                <w:sz w:val="22"/>
                <w:szCs w:val="22"/>
              </w:rPr>
            </w:pPr>
            <w:r w:rsidRPr="000D69C5">
              <w:rPr>
                <w:rFonts w:ascii="Candara" w:hAnsi="Candara"/>
                <w:sz w:val="22"/>
                <w:szCs w:val="22"/>
              </w:rPr>
              <w:t>-75,0</w:t>
            </w:r>
          </w:p>
        </w:tc>
      </w:tr>
      <w:tr w:rsidR="00BD2EAA" w:rsidRPr="000424B5" w:rsidTr="00BD2EAA">
        <w:trPr>
          <w:trHeight w:val="20"/>
        </w:trPr>
        <w:tc>
          <w:tcPr>
            <w:tcW w:w="1464" w:type="pct"/>
            <w:noWrap/>
          </w:tcPr>
          <w:p w:rsidR="00BD2EAA" w:rsidRPr="000D69C5" w:rsidRDefault="00BD2EAA" w:rsidP="00312EB3">
            <w:pPr>
              <w:rPr>
                <w:rFonts w:ascii="Candara" w:hAnsi="Candara"/>
                <w:b/>
                <w:sz w:val="22"/>
                <w:szCs w:val="22"/>
              </w:rPr>
            </w:pPr>
            <w:r w:rsidRPr="000D69C5">
              <w:rPr>
                <w:rFonts w:ascii="Candara" w:hAnsi="Candara"/>
                <w:b/>
                <w:sz w:val="22"/>
                <w:szCs w:val="22"/>
              </w:rPr>
              <w:t>No regionalizable</w:t>
            </w:r>
          </w:p>
        </w:tc>
        <w:tc>
          <w:tcPr>
            <w:tcW w:w="1178" w:type="pct"/>
          </w:tcPr>
          <w:p w:rsidR="00BD2EAA" w:rsidRPr="000D69C5" w:rsidRDefault="00BD2EAA" w:rsidP="00BD2EAA">
            <w:pPr>
              <w:jc w:val="right"/>
              <w:rPr>
                <w:rFonts w:ascii="Candara" w:hAnsi="Candara"/>
                <w:sz w:val="22"/>
                <w:szCs w:val="22"/>
              </w:rPr>
            </w:pPr>
            <w:r w:rsidRPr="000D69C5">
              <w:rPr>
                <w:rFonts w:ascii="Candara" w:hAnsi="Candara"/>
                <w:sz w:val="22"/>
                <w:szCs w:val="22"/>
              </w:rPr>
              <w:t>5</w:t>
            </w:r>
          </w:p>
        </w:tc>
        <w:tc>
          <w:tcPr>
            <w:tcW w:w="1179" w:type="pct"/>
          </w:tcPr>
          <w:p w:rsidR="00BD2EAA" w:rsidRPr="000D69C5" w:rsidRDefault="00BD2EAA" w:rsidP="00BD2EAA">
            <w:pPr>
              <w:jc w:val="right"/>
              <w:rPr>
                <w:rFonts w:ascii="Candara" w:hAnsi="Candara"/>
                <w:sz w:val="22"/>
                <w:szCs w:val="22"/>
              </w:rPr>
            </w:pPr>
            <w:r w:rsidRPr="000D69C5">
              <w:rPr>
                <w:rFonts w:ascii="Candara" w:hAnsi="Candara"/>
                <w:sz w:val="22"/>
                <w:szCs w:val="22"/>
              </w:rPr>
              <w:t>3</w:t>
            </w:r>
          </w:p>
        </w:tc>
        <w:tc>
          <w:tcPr>
            <w:tcW w:w="1179" w:type="pct"/>
          </w:tcPr>
          <w:p w:rsidR="00BD2EAA" w:rsidRPr="000D69C5" w:rsidRDefault="00BD2EAA" w:rsidP="00BD2EAA">
            <w:pPr>
              <w:jc w:val="right"/>
              <w:rPr>
                <w:rFonts w:ascii="Candara" w:hAnsi="Candara"/>
                <w:sz w:val="22"/>
                <w:szCs w:val="22"/>
              </w:rPr>
            </w:pPr>
            <w:r w:rsidRPr="000D69C5">
              <w:rPr>
                <w:rFonts w:ascii="Candara" w:hAnsi="Candara"/>
                <w:sz w:val="22"/>
                <w:szCs w:val="22"/>
              </w:rPr>
              <w:t>-46,6</w:t>
            </w:r>
          </w:p>
        </w:tc>
      </w:tr>
      <w:tr w:rsidR="00BD2EAA" w:rsidRPr="000424B5" w:rsidTr="00BD2EAA">
        <w:trPr>
          <w:trHeight w:val="20"/>
        </w:trPr>
        <w:tc>
          <w:tcPr>
            <w:tcW w:w="1464" w:type="pct"/>
            <w:noWrap/>
          </w:tcPr>
          <w:p w:rsidR="00BD2EAA" w:rsidRPr="000D69C5" w:rsidRDefault="00BD2EAA" w:rsidP="00312EB3">
            <w:pPr>
              <w:rPr>
                <w:rFonts w:ascii="Candara" w:hAnsi="Candara"/>
                <w:b/>
                <w:bCs/>
                <w:sz w:val="22"/>
                <w:szCs w:val="22"/>
              </w:rPr>
            </w:pPr>
            <w:r w:rsidRPr="000D69C5">
              <w:rPr>
                <w:rFonts w:ascii="Candara" w:hAnsi="Candara"/>
                <w:b/>
                <w:bCs/>
                <w:sz w:val="22"/>
                <w:szCs w:val="22"/>
              </w:rPr>
              <w:t>Total</w:t>
            </w:r>
          </w:p>
        </w:tc>
        <w:tc>
          <w:tcPr>
            <w:tcW w:w="1178" w:type="pct"/>
          </w:tcPr>
          <w:p w:rsidR="00BD2EAA" w:rsidRPr="000D69C5" w:rsidRDefault="00BD2EAA" w:rsidP="00BD2EAA">
            <w:pPr>
              <w:jc w:val="right"/>
              <w:rPr>
                <w:rFonts w:ascii="Candara" w:hAnsi="Candara"/>
                <w:b/>
                <w:bCs/>
                <w:sz w:val="22"/>
                <w:szCs w:val="22"/>
              </w:rPr>
            </w:pPr>
            <w:r w:rsidRPr="000D69C5">
              <w:rPr>
                <w:rFonts w:ascii="Candara" w:hAnsi="Candara"/>
                <w:b/>
                <w:bCs/>
                <w:sz w:val="22"/>
                <w:szCs w:val="22"/>
              </w:rPr>
              <w:t>1.748</w:t>
            </w:r>
          </w:p>
        </w:tc>
        <w:tc>
          <w:tcPr>
            <w:tcW w:w="1179" w:type="pct"/>
          </w:tcPr>
          <w:p w:rsidR="00BD2EAA" w:rsidRPr="000D69C5" w:rsidRDefault="00BD2EAA" w:rsidP="00BD2EAA">
            <w:pPr>
              <w:jc w:val="right"/>
              <w:rPr>
                <w:rFonts w:ascii="Candara" w:hAnsi="Candara"/>
                <w:b/>
                <w:bCs/>
                <w:sz w:val="22"/>
                <w:szCs w:val="22"/>
              </w:rPr>
            </w:pPr>
            <w:r w:rsidRPr="000D69C5">
              <w:rPr>
                <w:rFonts w:ascii="Candara" w:hAnsi="Candara"/>
                <w:b/>
                <w:bCs/>
                <w:sz w:val="22"/>
                <w:szCs w:val="22"/>
              </w:rPr>
              <w:t>1.622</w:t>
            </w:r>
          </w:p>
        </w:tc>
        <w:tc>
          <w:tcPr>
            <w:tcW w:w="1179" w:type="pct"/>
          </w:tcPr>
          <w:p w:rsidR="00BD2EAA" w:rsidRPr="000D69C5" w:rsidRDefault="00BD2EAA" w:rsidP="00BD2EAA">
            <w:pPr>
              <w:jc w:val="right"/>
              <w:rPr>
                <w:rFonts w:ascii="Candara" w:hAnsi="Candara"/>
                <w:b/>
                <w:bCs/>
                <w:sz w:val="22"/>
                <w:szCs w:val="22"/>
              </w:rPr>
            </w:pPr>
            <w:r w:rsidRPr="000D69C5">
              <w:rPr>
                <w:rFonts w:ascii="Candara" w:hAnsi="Candara"/>
                <w:b/>
                <w:bCs/>
                <w:sz w:val="22"/>
                <w:szCs w:val="22"/>
              </w:rPr>
              <w:t>-7,2</w:t>
            </w:r>
          </w:p>
        </w:tc>
      </w:tr>
      <w:tr w:rsidR="00BD2EAA" w:rsidRPr="000424B5" w:rsidTr="00BD2EAA">
        <w:trPr>
          <w:trHeight w:val="20"/>
        </w:trPr>
        <w:tc>
          <w:tcPr>
            <w:tcW w:w="5000" w:type="pct"/>
            <w:gridSpan w:val="4"/>
            <w:noWrap/>
          </w:tcPr>
          <w:p w:rsidR="00BD2EAA" w:rsidRPr="000D69C5" w:rsidRDefault="00BD2EAA" w:rsidP="00312EB3">
            <w:pPr>
              <w:rPr>
                <w:rFonts w:ascii="Candara" w:hAnsi="Candara"/>
                <w:b/>
                <w:bCs/>
                <w:sz w:val="22"/>
                <w:szCs w:val="22"/>
              </w:rPr>
            </w:pPr>
            <w:r w:rsidRPr="000D69C5">
              <w:rPr>
                <w:rFonts w:ascii="Candara" w:hAnsi="Candara"/>
                <w:b/>
                <w:bCs/>
                <w:sz w:val="22"/>
                <w:szCs w:val="22"/>
              </w:rPr>
              <w:t>Fuente: SEOPAN</w:t>
            </w:r>
          </w:p>
        </w:tc>
      </w:tr>
    </w:tbl>
    <w:p w:rsidR="00BD2EAA" w:rsidRPr="000424B5" w:rsidRDefault="00BD2EAA" w:rsidP="00BD2EAA">
      <w:pPr>
        <w:spacing w:before="120"/>
        <w:jc w:val="both"/>
        <w:rPr>
          <w:rFonts w:ascii="Calibri" w:hAnsi="Calibri" w:cs="Tahoma"/>
          <w:sz w:val="22"/>
          <w:szCs w:val="22"/>
        </w:rPr>
      </w:pPr>
    </w:p>
    <w:p w:rsidR="00BD2EAA" w:rsidRPr="000424B5" w:rsidRDefault="001F5AF1" w:rsidP="00BD2EAA">
      <w:pPr>
        <w:spacing w:before="120"/>
        <w:jc w:val="both"/>
        <w:rPr>
          <w:rFonts w:ascii="Calibri" w:hAnsi="Calibri" w:cs="Tahoma"/>
          <w:sz w:val="22"/>
          <w:szCs w:val="22"/>
        </w:rPr>
      </w:pPr>
      <w:r>
        <w:rPr>
          <w:rFonts w:ascii="Calibri" w:hAnsi="Calibri" w:cs="Tahoma"/>
          <w:noProof/>
          <w:sz w:val="22"/>
          <w:szCs w:val="22"/>
          <w:lang w:val="es-ES" w:eastAsia="es-ES"/>
        </w:rPr>
        <w:drawing>
          <wp:inline distT="0" distB="0" distL="0" distR="0">
            <wp:extent cx="5419725" cy="3162300"/>
            <wp:effectExtent l="0" t="0" r="0" b="0"/>
            <wp:docPr id="9"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D2EAA" w:rsidRPr="000424B5" w:rsidRDefault="00BD2EAA" w:rsidP="00BD2EAA">
      <w:pPr>
        <w:jc w:val="center"/>
        <w:rPr>
          <w:rFonts w:ascii="Calibri" w:hAnsi="Calibri"/>
          <w:i/>
          <w:sz w:val="22"/>
          <w:szCs w:val="22"/>
        </w:rPr>
      </w:pPr>
      <w:r w:rsidRPr="000424B5">
        <w:rPr>
          <w:rFonts w:ascii="Calibri" w:hAnsi="Calibri"/>
          <w:bCs/>
          <w:i/>
          <w:sz w:val="22"/>
          <w:szCs w:val="22"/>
          <w:lang w:val="es-ES"/>
        </w:rPr>
        <w:t>Licitación Pública por Comunidades Autónomas</w:t>
      </w:r>
      <w:r w:rsidRPr="000424B5">
        <w:rPr>
          <w:rFonts w:ascii="Calibri" w:hAnsi="Calibri"/>
          <w:i/>
          <w:sz w:val="22"/>
          <w:szCs w:val="22"/>
        </w:rPr>
        <w:t xml:space="preserve">. </w:t>
      </w:r>
      <w:r w:rsidRPr="000424B5">
        <w:rPr>
          <w:rFonts w:ascii="Calibri" w:hAnsi="Calibri"/>
          <w:bCs/>
          <w:i/>
          <w:sz w:val="22"/>
          <w:szCs w:val="22"/>
          <w:lang w:val="es-ES"/>
        </w:rPr>
        <w:t>Variación Enero - Marzo 2013/2012. SEOPAN</w:t>
      </w:r>
      <w:r>
        <w:rPr>
          <w:rFonts w:ascii="Calibri" w:hAnsi="Calibri"/>
          <w:bCs/>
          <w:i/>
          <w:sz w:val="22"/>
          <w:szCs w:val="22"/>
          <w:lang w:val="es-ES"/>
        </w:rPr>
        <w:t>.</w:t>
      </w:r>
    </w:p>
    <w:p w:rsidR="000D69C5" w:rsidRDefault="000D69C5" w:rsidP="00BD2EAA">
      <w:pPr>
        <w:widowControl w:val="0"/>
        <w:autoSpaceDE w:val="0"/>
        <w:autoSpaceDN w:val="0"/>
        <w:adjustRightInd w:val="0"/>
        <w:spacing w:before="120"/>
        <w:jc w:val="both"/>
        <w:rPr>
          <w:rFonts w:ascii="Calibri" w:hAnsi="Calibri" w:cs="Tahoma"/>
          <w:bCs/>
          <w:sz w:val="22"/>
          <w:szCs w:val="22"/>
        </w:rPr>
      </w:pPr>
    </w:p>
    <w:p w:rsidR="00BD2EAA" w:rsidRPr="000D69C5" w:rsidRDefault="00BD2EAA" w:rsidP="00BD2EAA">
      <w:pPr>
        <w:widowControl w:val="0"/>
        <w:autoSpaceDE w:val="0"/>
        <w:autoSpaceDN w:val="0"/>
        <w:adjustRightInd w:val="0"/>
        <w:spacing w:before="120"/>
        <w:jc w:val="both"/>
        <w:rPr>
          <w:rFonts w:ascii="Candara" w:hAnsi="Candara" w:cs="Tahoma"/>
          <w:bCs/>
        </w:rPr>
      </w:pPr>
      <w:r w:rsidRPr="000D69C5">
        <w:rPr>
          <w:rFonts w:ascii="Candara" w:hAnsi="Candara" w:cs="Tahoma"/>
          <w:bCs/>
        </w:rPr>
        <w:t>Visto el escenario de licitación a marzo de 2013, así como la evolución del conjunto de la situación económica del país, no se puede ser optimista sobre un cambio de tendencia a corto plazo.</w:t>
      </w:r>
    </w:p>
    <w:p w:rsidR="00BD2EAA" w:rsidRPr="000D69C5" w:rsidRDefault="00BD2EAA" w:rsidP="00BD2EAA">
      <w:pPr>
        <w:widowControl w:val="0"/>
        <w:autoSpaceDE w:val="0"/>
        <w:autoSpaceDN w:val="0"/>
        <w:adjustRightInd w:val="0"/>
        <w:spacing w:before="120"/>
        <w:jc w:val="both"/>
        <w:rPr>
          <w:rFonts w:ascii="Candara" w:hAnsi="Candara"/>
          <w:lang w:val="es-ES"/>
        </w:rPr>
      </w:pPr>
      <w:r w:rsidRPr="000D69C5">
        <w:rPr>
          <w:rFonts w:ascii="Candara" w:hAnsi="Candara" w:cs="Tahoma"/>
          <w:bCs/>
        </w:rPr>
        <w:t>Asimismo, OFICEMEN informa de que el consumo de cemento se redujo nuevamente el -25,5% en el primer cuatrimestre de 2013, respecto al mismo periodo de 2013, mostrando que la situación no comienza a repuntar. El año móvil abril 2013 – abril 2012 arroja un -31,8%.</w:t>
      </w:r>
    </w:p>
    <w:p w:rsidR="00BD2EAA" w:rsidRPr="000D69C5" w:rsidRDefault="00BD2EAA" w:rsidP="00BD2EAA">
      <w:pPr>
        <w:spacing w:before="120"/>
        <w:jc w:val="both"/>
        <w:rPr>
          <w:rFonts w:ascii="Candara" w:hAnsi="Candara" w:cs="Tahoma"/>
        </w:rPr>
      </w:pPr>
      <w:r w:rsidRPr="000D69C5">
        <w:rPr>
          <w:rFonts w:ascii="Candara" w:hAnsi="Candara" w:cs="Tahoma"/>
        </w:rPr>
        <w:t xml:space="preserve">Con todos estos elementos descritos, la situación para este año 2013 es de un nuevo parón en la obra civil, sin ninguna contrapartida en la edificación, lo que hace prever unas </w:t>
      </w:r>
      <w:r w:rsidRPr="000D69C5">
        <w:rPr>
          <w:rFonts w:ascii="Candara" w:hAnsi="Candara" w:cs="Tahoma"/>
          <w:b/>
        </w:rPr>
        <w:t>nuevas caídas en el consumo de áridos</w:t>
      </w:r>
      <w:r w:rsidRPr="000D69C5">
        <w:rPr>
          <w:rFonts w:ascii="Candara" w:hAnsi="Candara" w:cs="Tahoma"/>
        </w:rPr>
        <w:t xml:space="preserve"> que se encontrarán en el entorno del </w:t>
      </w:r>
      <w:r w:rsidRPr="000D69C5">
        <w:rPr>
          <w:rFonts w:ascii="Candara" w:hAnsi="Candara" w:cs="Tahoma"/>
          <w:b/>
        </w:rPr>
        <w:t>-20% o del -25%</w:t>
      </w:r>
      <w:r w:rsidRPr="000D69C5">
        <w:rPr>
          <w:rFonts w:ascii="Candara" w:hAnsi="Candara" w:cs="Tahoma"/>
        </w:rPr>
        <w:t xml:space="preserve">, pudiéndose llegar a rebasar esas cifras, por lo que </w:t>
      </w:r>
      <w:r w:rsidRPr="000D69C5">
        <w:rPr>
          <w:rFonts w:ascii="Candara" w:hAnsi="Candara" w:cs="Tahoma"/>
          <w:b/>
        </w:rPr>
        <w:t>el consumo a final de 2013 podría situarse en la horquilla 85 y 90 millones de toneladas</w:t>
      </w:r>
      <w:r w:rsidRPr="000D69C5">
        <w:rPr>
          <w:rFonts w:ascii="Candara" w:hAnsi="Candara" w:cs="Tahoma"/>
        </w:rPr>
        <w:t xml:space="preserve">. </w:t>
      </w:r>
    </w:p>
    <w:p w:rsidR="00BD2EAA" w:rsidRPr="000D69C5" w:rsidRDefault="00BD2EAA" w:rsidP="00BD2EAA">
      <w:pPr>
        <w:spacing w:before="120"/>
        <w:jc w:val="both"/>
        <w:rPr>
          <w:rFonts w:ascii="Candara" w:hAnsi="Candara" w:cs="Tahoma"/>
        </w:rPr>
      </w:pPr>
      <w:r w:rsidRPr="000D69C5">
        <w:rPr>
          <w:rFonts w:ascii="Candara" w:hAnsi="Candara" w:cs="Tahoma"/>
        </w:rPr>
        <w:t xml:space="preserve">En esa fecha, el consumo por habitante habrá caído por debajo de las </w:t>
      </w:r>
      <w:r w:rsidRPr="000D69C5">
        <w:rPr>
          <w:rFonts w:ascii="Candara" w:hAnsi="Candara" w:cs="Tahoma"/>
          <w:b/>
        </w:rPr>
        <w:t>2,0  toneladas/habitante/año y España ocupará el último lugar de Europa</w:t>
      </w:r>
      <w:r w:rsidRPr="000D69C5">
        <w:rPr>
          <w:rFonts w:ascii="Candara" w:hAnsi="Candara" w:cs="Tahoma"/>
        </w:rPr>
        <w:t>.</w:t>
      </w:r>
    </w:p>
    <w:p w:rsidR="00BD2EAA" w:rsidRPr="000D69C5" w:rsidRDefault="00BD2EAA" w:rsidP="00BD2EAA">
      <w:pPr>
        <w:spacing w:before="120"/>
        <w:jc w:val="both"/>
        <w:rPr>
          <w:rFonts w:ascii="Candara" w:hAnsi="Candara" w:cs="Tahoma"/>
        </w:rPr>
      </w:pPr>
      <w:r w:rsidRPr="000D69C5">
        <w:rPr>
          <w:rFonts w:ascii="Candara" w:hAnsi="Candara" w:cs="Tahoma"/>
        </w:rPr>
        <w:t>Tras siete años consecutivos de bajadas contundentes, el mercado ha quedado tan contraído que, si en 2014 se reactivase levemente la construcción, se podría producir la paradoja de un mercado que crecería a ritmos de dos dígitos y que, sin embargo,</w:t>
      </w:r>
      <w:bookmarkStart w:id="0" w:name="_GoBack"/>
      <w:bookmarkEnd w:id="0"/>
      <w:r w:rsidRPr="000D69C5">
        <w:rPr>
          <w:rFonts w:ascii="Candara" w:hAnsi="Candara" w:cs="Tahoma"/>
        </w:rPr>
        <w:t xml:space="preserve"> continuaría inmerso en una crisis extrema.</w:t>
      </w:r>
    </w:p>
    <w:p w:rsidR="00BD2EAA" w:rsidRPr="00BD2EAA" w:rsidRDefault="00BD2EAA" w:rsidP="00DA66CA">
      <w:pPr>
        <w:rPr>
          <w:lang w:eastAsia="es-ES"/>
        </w:rPr>
      </w:pPr>
    </w:p>
    <w:p w:rsidR="00F31C4F" w:rsidRPr="000D69C5" w:rsidRDefault="00176750" w:rsidP="00176750">
      <w:pPr>
        <w:autoSpaceDE w:val="0"/>
        <w:autoSpaceDN w:val="0"/>
        <w:adjustRightInd w:val="0"/>
        <w:jc w:val="center"/>
        <w:rPr>
          <w:rFonts w:ascii="Candara" w:hAnsi="Candara" w:cs="Tahoma"/>
          <w:b/>
          <w:color w:val="E36C0A"/>
        </w:rPr>
      </w:pPr>
      <w:r>
        <w:rPr>
          <w:rFonts w:ascii="Candara" w:hAnsi="Candara"/>
          <w:b/>
          <w:color w:val="984806"/>
          <w:sz w:val="32"/>
          <w:szCs w:val="32"/>
          <w:u w:val="single"/>
        </w:rPr>
        <w:br w:type="page"/>
      </w:r>
      <w:r w:rsidR="005A0BE5" w:rsidRPr="000D69C5">
        <w:rPr>
          <w:rFonts w:ascii="Candara" w:hAnsi="Candara"/>
          <w:b/>
          <w:color w:val="E36C0A"/>
          <w:sz w:val="32"/>
          <w:szCs w:val="32"/>
          <w:u w:val="single"/>
        </w:rPr>
        <w:lastRenderedPageBreak/>
        <w:t>ANEFA, ASOCIACIÓN DE REFERENCIA</w:t>
      </w:r>
    </w:p>
    <w:p w:rsidR="008005BF" w:rsidRPr="008005BF" w:rsidRDefault="008005BF" w:rsidP="008005BF">
      <w:pPr>
        <w:rPr>
          <w:lang w:val="es-ES" w:eastAsia="es-ES"/>
        </w:rPr>
      </w:pPr>
    </w:p>
    <w:p w:rsidR="00CB64A4" w:rsidRPr="000D69C5" w:rsidRDefault="00CB64A4" w:rsidP="00CB64A4">
      <w:pPr>
        <w:pStyle w:val="Textoindependiente"/>
        <w:spacing w:before="120"/>
        <w:rPr>
          <w:rFonts w:ascii="Candara" w:hAnsi="Candara" w:cs="Tahoma"/>
          <w:color w:val="000000"/>
        </w:rPr>
      </w:pPr>
      <w:r w:rsidRPr="000D69C5">
        <w:rPr>
          <w:rFonts w:ascii="Candara" w:hAnsi="Candara" w:cs="Tahoma"/>
          <w:color w:val="000000"/>
        </w:rPr>
        <w:t>La Asociación Nacional de Empresarios Fabricantes de Áridos (ANEFA), creada en 1977, es una de las Asociaciones más antiguas y reputadas de las industrias extractivas y de productos de construcción de España.</w:t>
      </w:r>
    </w:p>
    <w:p w:rsidR="00CB64A4" w:rsidRPr="000D69C5" w:rsidRDefault="00CB64A4" w:rsidP="00CB64A4">
      <w:pPr>
        <w:pStyle w:val="Textoindependiente"/>
        <w:spacing w:before="120"/>
        <w:rPr>
          <w:rFonts w:ascii="Candara" w:hAnsi="Candara" w:cs="Tahoma"/>
          <w:color w:val="000000"/>
        </w:rPr>
      </w:pPr>
      <w:r w:rsidRPr="000D69C5">
        <w:rPr>
          <w:rFonts w:ascii="Candara" w:hAnsi="Candara" w:cs="Tahoma"/>
          <w:color w:val="000000"/>
        </w:rPr>
        <w:t xml:space="preserve">Agrupa a más de </w:t>
      </w:r>
      <w:r w:rsidRPr="000D69C5">
        <w:rPr>
          <w:rFonts w:ascii="Candara" w:hAnsi="Candara" w:cs="Tahoma"/>
          <w:b/>
          <w:bCs/>
          <w:color w:val="000000"/>
        </w:rPr>
        <w:t>400 explotaciones activas</w:t>
      </w:r>
      <w:r w:rsidRPr="000D69C5">
        <w:rPr>
          <w:rFonts w:ascii="Candara" w:hAnsi="Candara" w:cs="Tahoma"/>
          <w:color w:val="000000"/>
        </w:rPr>
        <w:t xml:space="preserve"> y está integrada por más de </w:t>
      </w:r>
      <w:r w:rsidRPr="000D69C5">
        <w:rPr>
          <w:rFonts w:ascii="Candara" w:hAnsi="Candara" w:cs="Tahoma"/>
          <w:b/>
          <w:color w:val="000000"/>
        </w:rPr>
        <w:t>275</w:t>
      </w:r>
      <w:r w:rsidRPr="000D69C5">
        <w:rPr>
          <w:rFonts w:ascii="Candara" w:hAnsi="Candara" w:cs="Tahoma"/>
          <w:b/>
          <w:bCs/>
          <w:color w:val="000000"/>
        </w:rPr>
        <w:t xml:space="preserve"> Empresas</w:t>
      </w:r>
      <w:r w:rsidRPr="000D69C5">
        <w:rPr>
          <w:rFonts w:ascii="Candara" w:hAnsi="Candara" w:cs="Tahoma"/>
          <w:color w:val="000000"/>
        </w:rPr>
        <w:t xml:space="preserve"> repartidas por todo el territorio nacional, enmarcadas en ANEFA directamente como </w:t>
      </w:r>
      <w:r w:rsidRPr="000D69C5">
        <w:rPr>
          <w:rFonts w:ascii="Candara" w:hAnsi="Candara" w:cs="Tahoma"/>
          <w:b/>
          <w:bCs/>
          <w:color w:val="000000"/>
        </w:rPr>
        <w:t>Empresas miembro</w:t>
      </w:r>
      <w:r w:rsidRPr="000D69C5">
        <w:rPr>
          <w:rFonts w:ascii="Candara" w:hAnsi="Candara" w:cs="Tahoma"/>
          <w:color w:val="000000"/>
        </w:rPr>
        <w:t xml:space="preserve"> </w:t>
      </w:r>
      <w:r w:rsidRPr="000D69C5">
        <w:rPr>
          <w:rFonts w:ascii="Candara" w:hAnsi="Candara" w:cs="Tahoma"/>
          <w:b/>
          <w:bCs/>
          <w:color w:val="000000"/>
        </w:rPr>
        <w:t xml:space="preserve">activo </w:t>
      </w:r>
      <w:r w:rsidRPr="000D69C5">
        <w:rPr>
          <w:rFonts w:ascii="Candara" w:hAnsi="Candara" w:cs="Tahoma"/>
          <w:color w:val="000000"/>
        </w:rPr>
        <w:t xml:space="preserve">o bien a través de las </w:t>
      </w:r>
      <w:r w:rsidRPr="000D69C5">
        <w:rPr>
          <w:rFonts w:ascii="Candara" w:hAnsi="Candara" w:cs="Tahoma"/>
          <w:b/>
          <w:bCs/>
          <w:color w:val="000000"/>
        </w:rPr>
        <w:t xml:space="preserve">Asociaciones miembro. </w:t>
      </w:r>
      <w:r w:rsidRPr="000D69C5">
        <w:rPr>
          <w:rFonts w:ascii="Candara" w:hAnsi="Candara" w:cs="Tahoma"/>
          <w:color w:val="000000"/>
        </w:rPr>
        <w:t xml:space="preserve">En dichas cifras, se incluyen </w:t>
      </w:r>
      <w:r w:rsidRPr="000D69C5">
        <w:rPr>
          <w:rFonts w:ascii="Candara" w:hAnsi="Candara" w:cs="Tahoma"/>
          <w:b/>
          <w:bCs/>
          <w:color w:val="000000"/>
        </w:rPr>
        <w:t>cerca de 25 Empresas miembro adherido</w:t>
      </w:r>
      <w:r w:rsidRPr="000D69C5">
        <w:rPr>
          <w:rFonts w:ascii="Candara" w:hAnsi="Candara" w:cs="Tahoma"/>
          <w:color w:val="000000"/>
        </w:rPr>
        <w:t xml:space="preserve">, proveedoras de bienes de equipo y de servicios para el sector. </w:t>
      </w:r>
    </w:p>
    <w:p w:rsidR="00CB64A4" w:rsidRPr="000D69C5" w:rsidRDefault="00CB64A4" w:rsidP="00CB64A4">
      <w:pPr>
        <w:pStyle w:val="Textoindependiente"/>
        <w:spacing w:before="120"/>
        <w:rPr>
          <w:rFonts w:ascii="Candara" w:hAnsi="Candara" w:cs="Tahoma"/>
          <w:color w:val="000000"/>
        </w:rPr>
      </w:pPr>
      <w:r w:rsidRPr="000D69C5">
        <w:rPr>
          <w:rFonts w:ascii="Candara" w:hAnsi="Candara" w:cs="Tahoma"/>
          <w:color w:val="000000"/>
        </w:rPr>
        <w:t xml:space="preserve">Por su parte, la representatividad de las empresas y del sector de los áridos en los correspondientes ámbitos territoriales – Comunidades Autónomas, Provincias y Municipios – se ejerce por las </w:t>
      </w:r>
      <w:r w:rsidRPr="000D69C5">
        <w:rPr>
          <w:rFonts w:ascii="Candara" w:hAnsi="Candara" w:cs="Tahoma"/>
          <w:b/>
          <w:bCs/>
          <w:color w:val="000000"/>
        </w:rPr>
        <w:t>Agrupaciones de Fabricantes de Áridos – AFAs – provinciales y autonómicas</w:t>
      </w:r>
      <w:r w:rsidRPr="000D69C5">
        <w:rPr>
          <w:rFonts w:ascii="Candara" w:hAnsi="Candara" w:cs="Tahoma"/>
          <w:color w:val="000000"/>
        </w:rPr>
        <w:t xml:space="preserve">, así como por las siguientes </w:t>
      </w:r>
      <w:r w:rsidRPr="000D69C5">
        <w:rPr>
          <w:rFonts w:ascii="Candara" w:hAnsi="Candara" w:cs="Tahoma"/>
          <w:b/>
          <w:bCs/>
          <w:color w:val="000000"/>
        </w:rPr>
        <w:t>Asociaciones miembro</w:t>
      </w:r>
      <w:r w:rsidRPr="000D69C5">
        <w:rPr>
          <w:rFonts w:ascii="Candara" w:hAnsi="Candara" w:cs="Tahoma"/>
          <w:color w:val="000000"/>
        </w:rPr>
        <w:t>:</w:t>
      </w:r>
    </w:p>
    <w:p w:rsidR="00CB64A4" w:rsidRPr="000D69C5" w:rsidRDefault="00CB64A4" w:rsidP="00CB64A4">
      <w:pPr>
        <w:numPr>
          <w:ilvl w:val="0"/>
          <w:numId w:val="4"/>
        </w:numPr>
        <w:tabs>
          <w:tab w:val="num" w:pos="360"/>
        </w:tabs>
        <w:spacing w:before="120"/>
        <w:ind w:left="360" w:hanging="360"/>
        <w:jc w:val="both"/>
        <w:rPr>
          <w:rFonts w:ascii="Candara" w:hAnsi="Candara" w:cs="Tahoma"/>
          <w:color w:val="000000"/>
        </w:rPr>
      </w:pPr>
      <w:r w:rsidRPr="000D69C5">
        <w:rPr>
          <w:rFonts w:ascii="Candara" w:hAnsi="Candara" w:cs="Tahoma"/>
          <w:b/>
          <w:bCs/>
          <w:color w:val="000000"/>
        </w:rPr>
        <w:t>Asociación de Empresas Fabricantes de Áridos y Afines de Andalucía – AFA – Andalucía</w:t>
      </w:r>
      <w:r w:rsidRPr="000D69C5">
        <w:rPr>
          <w:rFonts w:ascii="Candara" w:hAnsi="Candara" w:cs="Tahoma"/>
          <w:color w:val="000000"/>
        </w:rPr>
        <w:t>.</w:t>
      </w:r>
    </w:p>
    <w:p w:rsidR="00CB64A4" w:rsidRPr="000D69C5" w:rsidRDefault="00CB64A4" w:rsidP="00CB64A4">
      <w:pPr>
        <w:numPr>
          <w:ilvl w:val="0"/>
          <w:numId w:val="4"/>
        </w:numPr>
        <w:tabs>
          <w:tab w:val="num" w:pos="360"/>
        </w:tabs>
        <w:spacing w:before="120"/>
        <w:ind w:left="360" w:hanging="360"/>
        <w:jc w:val="both"/>
        <w:rPr>
          <w:rFonts w:ascii="Candara" w:hAnsi="Candara" w:cs="Tahoma"/>
          <w:color w:val="000000"/>
        </w:rPr>
      </w:pPr>
      <w:r w:rsidRPr="000D69C5">
        <w:rPr>
          <w:rFonts w:ascii="Candara" w:hAnsi="Candara" w:cs="Tahoma"/>
          <w:b/>
          <w:bCs/>
          <w:color w:val="000000"/>
        </w:rPr>
        <w:t>Asociación de Fabricantes de Áridos del Principado de Asturias – AFAPA</w:t>
      </w:r>
      <w:r w:rsidRPr="000D69C5">
        <w:rPr>
          <w:rFonts w:ascii="Candara" w:hAnsi="Candara" w:cs="Tahoma"/>
          <w:color w:val="000000"/>
        </w:rPr>
        <w:t>.</w:t>
      </w:r>
    </w:p>
    <w:p w:rsidR="00CB64A4" w:rsidRPr="000D69C5" w:rsidRDefault="00CB64A4" w:rsidP="00CB64A4">
      <w:pPr>
        <w:numPr>
          <w:ilvl w:val="0"/>
          <w:numId w:val="4"/>
        </w:numPr>
        <w:tabs>
          <w:tab w:val="num" w:pos="360"/>
        </w:tabs>
        <w:spacing w:before="120"/>
        <w:ind w:left="360" w:hanging="360"/>
        <w:jc w:val="both"/>
        <w:rPr>
          <w:rFonts w:ascii="Candara" w:hAnsi="Candara" w:cs="Tahoma"/>
          <w:color w:val="000000"/>
        </w:rPr>
      </w:pPr>
      <w:r w:rsidRPr="000D69C5">
        <w:rPr>
          <w:rFonts w:ascii="Candara" w:hAnsi="Candara" w:cs="Tahoma"/>
          <w:b/>
          <w:bCs/>
          <w:color w:val="000000"/>
        </w:rPr>
        <w:t>Cámara Oficial Minera de Cantabria – COMC</w:t>
      </w:r>
      <w:r w:rsidRPr="000D69C5">
        <w:rPr>
          <w:rFonts w:ascii="Candara" w:hAnsi="Candara" w:cs="Tahoma"/>
          <w:color w:val="000000"/>
        </w:rPr>
        <w:t>.</w:t>
      </w:r>
    </w:p>
    <w:p w:rsidR="00CB64A4" w:rsidRPr="000D69C5" w:rsidRDefault="00CB64A4" w:rsidP="00CB64A4">
      <w:pPr>
        <w:numPr>
          <w:ilvl w:val="0"/>
          <w:numId w:val="4"/>
        </w:numPr>
        <w:tabs>
          <w:tab w:val="num" w:pos="360"/>
        </w:tabs>
        <w:spacing w:before="120"/>
        <w:ind w:left="360" w:hanging="360"/>
        <w:jc w:val="both"/>
        <w:rPr>
          <w:rFonts w:ascii="Candara" w:hAnsi="Candara" w:cs="Tahoma"/>
          <w:color w:val="000000"/>
        </w:rPr>
      </w:pPr>
      <w:r w:rsidRPr="000D69C5">
        <w:rPr>
          <w:rFonts w:ascii="Candara" w:hAnsi="Candara" w:cs="Tahoma"/>
          <w:b/>
          <w:bCs/>
          <w:color w:val="000000"/>
        </w:rPr>
        <w:t>Asociación de Fabricantes de Áridos de Castilla y León – AFARCYL</w:t>
      </w:r>
      <w:r w:rsidRPr="000D69C5">
        <w:rPr>
          <w:rFonts w:ascii="Candara" w:hAnsi="Candara" w:cs="Tahoma"/>
          <w:color w:val="000000"/>
        </w:rPr>
        <w:t>.</w:t>
      </w:r>
    </w:p>
    <w:p w:rsidR="00CB64A4" w:rsidRPr="000D69C5" w:rsidRDefault="00CB64A4" w:rsidP="00CB64A4">
      <w:pPr>
        <w:pStyle w:val="Textoindependiente"/>
        <w:spacing w:before="120"/>
        <w:rPr>
          <w:rFonts w:ascii="Candara" w:hAnsi="Candara" w:cs="Tahoma"/>
          <w:color w:val="000000"/>
        </w:rPr>
      </w:pPr>
      <w:r w:rsidRPr="000D69C5">
        <w:rPr>
          <w:rFonts w:ascii="Candara" w:hAnsi="Candara" w:cs="Tahoma"/>
          <w:color w:val="000000"/>
        </w:rPr>
        <w:t xml:space="preserve">Desde su constitución, la Asociación Nacional ha introducido criterios profesionales avanzados en todos los procesos de la actividad de producción de los áridos, abriendo nuevos caminos en materias esenciales que constituyen la base del </w:t>
      </w:r>
      <w:r w:rsidRPr="000D69C5">
        <w:rPr>
          <w:rFonts w:ascii="Candara" w:hAnsi="Candara" w:cs="Tahoma"/>
          <w:b/>
          <w:bCs/>
          <w:color w:val="000000"/>
        </w:rPr>
        <w:t>Desarrollo Sostenible</w:t>
      </w:r>
      <w:r w:rsidRPr="000D69C5">
        <w:rPr>
          <w:rFonts w:ascii="Candara" w:hAnsi="Candara" w:cs="Tahoma"/>
          <w:color w:val="000000"/>
        </w:rPr>
        <w:t xml:space="preserve"> para las empresas y para el sector, como son: </w:t>
      </w:r>
    </w:p>
    <w:p w:rsidR="00CB64A4" w:rsidRPr="000D69C5" w:rsidRDefault="00CB64A4" w:rsidP="00CB64A4">
      <w:pPr>
        <w:numPr>
          <w:ilvl w:val="0"/>
          <w:numId w:val="4"/>
        </w:numPr>
        <w:tabs>
          <w:tab w:val="num" w:pos="360"/>
        </w:tabs>
        <w:spacing w:before="120"/>
        <w:ind w:left="360" w:hanging="360"/>
        <w:jc w:val="both"/>
        <w:rPr>
          <w:rFonts w:ascii="Candara" w:hAnsi="Candara" w:cs="Tahoma"/>
          <w:color w:val="000000"/>
        </w:rPr>
      </w:pPr>
      <w:r w:rsidRPr="000D69C5">
        <w:rPr>
          <w:rFonts w:ascii="Candara" w:hAnsi="Candara" w:cs="Tahoma"/>
          <w:color w:val="000000"/>
        </w:rPr>
        <w:t>La calidad de producción y de producto.</w:t>
      </w:r>
    </w:p>
    <w:p w:rsidR="00CB64A4" w:rsidRPr="000D69C5" w:rsidRDefault="00CB64A4" w:rsidP="00CB64A4">
      <w:pPr>
        <w:numPr>
          <w:ilvl w:val="0"/>
          <w:numId w:val="4"/>
        </w:numPr>
        <w:tabs>
          <w:tab w:val="num" w:pos="360"/>
        </w:tabs>
        <w:spacing w:before="120"/>
        <w:ind w:left="360" w:hanging="360"/>
        <w:jc w:val="both"/>
        <w:rPr>
          <w:rFonts w:ascii="Candara" w:hAnsi="Candara" w:cs="Tahoma"/>
          <w:color w:val="000000"/>
        </w:rPr>
      </w:pPr>
      <w:r w:rsidRPr="000D69C5">
        <w:rPr>
          <w:rFonts w:ascii="Candara" w:hAnsi="Candara" w:cs="Tahoma"/>
          <w:color w:val="000000"/>
        </w:rPr>
        <w:t>El medio ambiente.</w:t>
      </w:r>
    </w:p>
    <w:p w:rsidR="00CB64A4" w:rsidRPr="000D69C5" w:rsidRDefault="00CB64A4" w:rsidP="00CB64A4">
      <w:pPr>
        <w:numPr>
          <w:ilvl w:val="0"/>
          <w:numId w:val="4"/>
        </w:numPr>
        <w:tabs>
          <w:tab w:val="num" w:pos="360"/>
        </w:tabs>
        <w:spacing w:before="120"/>
        <w:ind w:left="360" w:hanging="360"/>
        <w:jc w:val="both"/>
        <w:rPr>
          <w:rFonts w:ascii="Candara" w:hAnsi="Candara" w:cs="Tahoma"/>
          <w:color w:val="000000"/>
        </w:rPr>
      </w:pPr>
      <w:r w:rsidRPr="000D69C5">
        <w:rPr>
          <w:rFonts w:ascii="Candara" w:hAnsi="Candara" w:cs="Tahoma"/>
          <w:color w:val="000000"/>
        </w:rPr>
        <w:t>La prevención de riesgos laborales.</w:t>
      </w:r>
    </w:p>
    <w:p w:rsidR="00CB64A4" w:rsidRPr="000D69C5" w:rsidRDefault="00CB64A4" w:rsidP="00CB64A4">
      <w:pPr>
        <w:numPr>
          <w:ilvl w:val="0"/>
          <w:numId w:val="4"/>
        </w:numPr>
        <w:tabs>
          <w:tab w:val="num" w:pos="360"/>
        </w:tabs>
        <w:spacing w:before="120"/>
        <w:ind w:left="360" w:hanging="360"/>
        <w:jc w:val="both"/>
        <w:rPr>
          <w:rFonts w:ascii="Candara" w:hAnsi="Candara" w:cs="Tahoma"/>
          <w:color w:val="000000"/>
        </w:rPr>
      </w:pPr>
      <w:r w:rsidRPr="000D69C5">
        <w:rPr>
          <w:rFonts w:ascii="Candara" w:hAnsi="Candara" w:cs="Tahoma"/>
          <w:color w:val="000000"/>
        </w:rPr>
        <w:t>La formación.</w:t>
      </w:r>
    </w:p>
    <w:p w:rsidR="00CB64A4" w:rsidRPr="000D69C5" w:rsidRDefault="00CB64A4" w:rsidP="00CB64A4">
      <w:pPr>
        <w:numPr>
          <w:ilvl w:val="0"/>
          <w:numId w:val="4"/>
        </w:numPr>
        <w:tabs>
          <w:tab w:val="num" w:pos="360"/>
        </w:tabs>
        <w:spacing w:before="120"/>
        <w:ind w:left="360" w:hanging="360"/>
        <w:jc w:val="both"/>
        <w:rPr>
          <w:rFonts w:ascii="Candara" w:hAnsi="Candara" w:cs="Tahoma"/>
          <w:color w:val="000000"/>
        </w:rPr>
      </w:pPr>
      <w:r w:rsidRPr="000D69C5">
        <w:rPr>
          <w:rFonts w:ascii="Candara" w:hAnsi="Candara" w:cs="Tahoma"/>
          <w:color w:val="000000"/>
        </w:rPr>
        <w:t>La imagen del sector.</w:t>
      </w:r>
    </w:p>
    <w:p w:rsidR="00CB64A4" w:rsidRPr="000D69C5" w:rsidRDefault="00CB64A4" w:rsidP="00CB64A4">
      <w:pPr>
        <w:spacing w:before="120"/>
        <w:jc w:val="both"/>
        <w:rPr>
          <w:rFonts w:ascii="Candara" w:hAnsi="Candara" w:cs="Tahoma"/>
          <w:color w:val="000000"/>
        </w:rPr>
      </w:pPr>
      <w:r w:rsidRPr="000D69C5">
        <w:rPr>
          <w:rFonts w:ascii="Candara" w:hAnsi="Candara" w:cs="Tahoma"/>
          <w:color w:val="000000"/>
        </w:rPr>
        <w:t>ANEFA, además de los servicios que ofrece a las Asociaciones y Empresas miembro, tiene entre sus objetivos prioritarios:</w:t>
      </w:r>
    </w:p>
    <w:p w:rsidR="00CB64A4" w:rsidRPr="000D69C5" w:rsidRDefault="00CB64A4" w:rsidP="00CB64A4">
      <w:pPr>
        <w:numPr>
          <w:ilvl w:val="0"/>
          <w:numId w:val="4"/>
        </w:numPr>
        <w:tabs>
          <w:tab w:val="num" w:pos="360"/>
        </w:tabs>
        <w:spacing w:before="120"/>
        <w:ind w:left="360" w:hanging="360"/>
        <w:jc w:val="both"/>
        <w:rPr>
          <w:rFonts w:ascii="Candara" w:hAnsi="Candara" w:cs="Tahoma"/>
          <w:color w:val="000000"/>
        </w:rPr>
      </w:pPr>
      <w:r w:rsidRPr="000D69C5">
        <w:rPr>
          <w:rFonts w:ascii="Candara" w:hAnsi="Candara" w:cs="Tahoma"/>
          <w:color w:val="000000"/>
        </w:rPr>
        <w:t xml:space="preserve">Defender la </w:t>
      </w:r>
      <w:r w:rsidRPr="000D69C5">
        <w:rPr>
          <w:rFonts w:ascii="Candara" w:hAnsi="Candara" w:cs="Tahoma"/>
          <w:b/>
          <w:bCs/>
          <w:color w:val="000000"/>
        </w:rPr>
        <w:t>seguridad jurídica</w:t>
      </w:r>
      <w:r w:rsidRPr="000D69C5">
        <w:rPr>
          <w:rFonts w:ascii="Candara" w:hAnsi="Candara" w:cs="Tahoma"/>
          <w:color w:val="000000"/>
        </w:rPr>
        <w:t xml:space="preserve"> necesaria para las empresas del sector.</w:t>
      </w:r>
    </w:p>
    <w:p w:rsidR="00CB64A4" w:rsidRPr="000D69C5" w:rsidRDefault="00CB64A4" w:rsidP="00CB64A4">
      <w:pPr>
        <w:numPr>
          <w:ilvl w:val="0"/>
          <w:numId w:val="4"/>
        </w:numPr>
        <w:tabs>
          <w:tab w:val="num" w:pos="360"/>
        </w:tabs>
        <w:spacing w:before="120"/>
        <w:ind w:left="360" w:hanging="360"/>
        <w:jc w:val="both"/>
        <w:rPr>
          <w:rFonts w:ascii="Candara" w:hAnsi="Candara" w:cs="Tahoma"/>
          <w:color w:val="000000"/>
        </w:rPr>
      </w:pPr>
      <w:r w:rsidRPr="000D69C5">
        <w:rPr>
          <w:rFonts w:ascii="Candara" w:hAnsi="Candara" w:cs="Tahoma"/>
          <w:color w:val="000000"/>
        </w:rPr>
        <w:t xml:space="preserve">Impulsar la </w:t>
      </w:r>
      <w:r w:rsidRPr="000D69C5">
        <w:rPr>
          <w:rFonts w:ascii="Candara" w:hAnsi="Candara" w:cs="Tahoma"/>
          <w:b/>
          <w:color w:val="000000"/>
        </w:rPr>
        <w:t>competitividad</w:t>
      </w:r>
      <w:r w:rsidRPr="000D69C5">
        <w:rPr>
          <w:rFonts w:ascii="Candara" w:hAnsi="Candara" w:cs="Tahoma"/>
          <w:color w:val="000000"/>
        </w:rPr>
        <w:t xml:space="preserve"> de la industria de producción de áridos.</w:t>
      </w:r>
    </w:p>
    <w:p w:rsidR="00CB64A4" w:rsidRPr="000D69C5" w:rsidRDefault="00CB64A4" w:rsidP="00CB64A4">
      <w:pPr>
        <w:numPr>
          <w:ilvl w:val="0"/>
          <w:numId w:val="4"/>
        </w:numPr>
        <w:tabs>
          <w:tab w:val="num" w:pos="360"/>
        </w:tabs>
        <w:spacing w:before="120"/>
        <w:ind w:left="360" w:hanging="360"/>
        <w:jc w:val="both"/>
        <w:rPr>
          <w:rFonts w:ascii="Candara" w:hAnsi="Candara" w:cs="Tahoma"/>
          <w:color w:val="000000"/>
        </w:rPr>
      </w:pPr>
      <w:r w:rsidRPr="000D69C5">
        <w:rPr>
          <w:rFonts w:ascii="Candara" w:hAnsi="Candara" w:cs="Tahoma"/>
          <w:color w:val="000000"/>
        </w:rPr>
        <w:t xml:space="preserve">Promover la </w:t>
      </w:r>
      <w:r w:rsidRPr="000D69C5">
        <w:rPr>
          <w:rFonts w:ascii="Candara" w:hAnsi="Candara" w:cs="Tahoma"/>
          <w:b/>
          <w:color w:val="000000"/>
        </w:rPr>
        <w:t>planificación estratégica</w:t>
      </w:r>
      <w:r w:rsidRPr="000D69C5">
        <w:rPr>
          <w:rFonts w:ascii="Candara" w:hAnsi="Candara" w:cs="Tahoma"/>
          <w:color w:val="000000"/>
        </w:rPr>
        <w:t xml:space="preserve"> del sector de los áridos. </w:t>
      </w:r>
    </w:p>
    <w:p w:rsidR="00CB64A4" w:rsidRPr="000D69C5" w:rsidRDefault="00CB64A4" w:rsidP="00CB64A4">
      <w:pPr>
        <w:numPr>
          <w:ilvl w:val="0"/>
          <w:numId w:val="4"/>
        </w:numPr>
        <w:tabs>
          <w:tab w:val="num" w:pos="360"/>
        </w:tabs>
        <w:spacing w:before="120"/>
        <w:ind w:left="360" w:hanging="360"/>
        <w:jc w:val="both"/>
        <w:rPr>
          <w:rFonts w:ascii="Candara" w:hAnsi="Candara" w:cs="Tahoma"/>
          <w:color w:val="000000"/>
        </w:rPr>
      </w:pPr>
      <w:r w:rsidRPr="000D69C5">
        <w:rPr>
          <w:rFonts w:ascii="Candara" w:hAnsi="Candara" w:cs="Tahoma"/>
          <w:color w:val="000000"/>
        </w:rPr>
        <w:t xml:space="preserve">Potenciar la consideración de los </w:t>
      </w:r>
      <w:r w:rsidRPr="000D69C5">
        <w:rPr>
          <w:rFonts w:ascii="Candara" w:hAnsi="Candara" w:cs="Tahoma"/>
          <w:b/>
          <w:bCs/>
          <w:color w:val="000000"/>
        </w:rPr>
        <w:t>aspectos medioambientales</w:t>
      </w:r>
      <w:r w:rsidRPr="000D69C5">
        <w:rPr>
          <w:rFonts w:ascii="Candara" w:hAnsi="Candara" w:cs="Tahoma"/>
          <w:color w:val="000000"/>
        </w:rPr>
        <w:t xml:space="preserve"> en los procesos de producción de áridos.</w:t>
      </w:r>
    </w:p>
    <w:p w:rsidR="00CB64A4" w:rsidRPr="000D69C5" w:rsidRDefault="00CB64A4" w:rsidP="00CB64A4">
      <w:pPr>
        <w:numPr>
          <w:ilvl w:val="0"/>
          <w:numId w:val="4"/>
        </w:numPr>
        <w:tabs>
          <w:tab w:val="num" w:pos="360"/>
        </w:tabs>
        <w:spacing w:before="120"/>
        <w:ind w:left="360" w:hanging="360"/>
        <w:jc w:val="both"/>
        <w:rPr>
          <w:rFonts w:ascii="Candara" w:hAnsi="Candara" w:cs="Tahoma"/>
          <w:color w:val="000000"/>
        </w:rPr>
      </w:pPr>
      <w:r w:rsidRPr="000D69C5">
        <w:rPr>
          <w:rFonts w:ascii="Candara" w:hAnsi="Candara" w:cs="Tahoma"/>
          <w:color w:val="000000"/>
        </w:rPr>
        <w:t xml:space="preserve">Promocionar la </w:t>
      </w:r>
      <w:r w:rsidRPr="000D69C5">
        <w:rPr>
          <w:rFonts w:ascii="Candara" w:hAnsi="Candara" w:cs="Tahoma"/>
          <w:b/>
          <w:bCs/>
          <w:color w:val="000000"/>
        </w:rPr>
        <w:t>calidad</w:t>
      </w:r>
      <w:r w:rsidRPr="000D69C5">
        <w:rPr>
          <w:rFonts w:ascii="Candara" w:hAnsi="Candara" w:cs="Tahoma"/>
          <w:color w:val="000000"/>
        </w:rPr>
        <w:t xml:space="preserve"> y la utilización adecuada de los áridos, impulsando el perfeccionamiento de la normativa técnica aplicable.</w:t>
      </w:r>
    </w:p>
    <w:p w:rsidR="00CB64A4" w:rsidRPr="000D69C5" w:rsidRDefault="00CB64A4" w:rsidP="00CB64A4">
      <w:pPr>
        <w:numPr>
          <w:ilvl w:val="0"/>
          <w:numId w:val="4"/>
        </w:numPr>
        <w:tabs>
          <w:tab w:val="num" w:pos="360"/>
        </w:tabs>
        <w:spacing w:before="120"/>
        <w:ind w:left="360" w:hanging="360"/>
        <w:jc w:val="both"/>
        <w:rPr>
          <w:rFonts w:ascii="Candara" w:hAnsi="Candara" w:cs="Tahoma"/>
          <w:color w:val="000000"/>
        </w:rPr>
      </w:pPr>
      <w:r w:rsidRPr="000D69C5">
        <w:rPr>
          <w:rFonts w:ascii="Candara" w:hAnsi="Candara" w:cs="Tahoma"/>
          <w:color w:val="000000"/>
        </w:rPr>
        <w:t xml:space="preserve">Promover la mejora continua de las condiciones de </w:t>
      </w:r>
      <w:r w:rsidRPr="000D69C5">
        <w:rPr>
          <w:rFonts w:ascii="Candara" w:hAnsi="Candara" w:cs="Tahoma"/>
          <w:b/>
          <w:bCs/>
          <w:color w:val="000000"/>
        </w:rPr>
        <w:t>seguridad y salud</w:t>
      </w:r>
      <w:r w:rsidRPr="000D69C5">
        <w:rPr>
          <w:rFonts w:ascii="Candara" w:hAnsi="Candara" w:cs="Tahoma"/>
          <w:color w:val="000000"/>
        </w:rPr>
        <w:t xml:space="preserve"> de los trabajadores en las empresas del sector.</w:t>
      </w:r>
    </w:p>
    <w:p w:rsidR="00CB64A4" w:rsidRPr="000D69C5" w:rsidRDefault="00CB64A4" w:rsidP="00CB64A4">
      <w:pPr>
        <w:pStyle w:val="Textoindependiente"/>
        <w:spacing w:before="120"/>
        <w:rPr>
          <w:rFonts w:ascii="Candara" w:hAnsi="Candara" w:cs="Tahoma"/>
          <w:color w:val="000000"/>
        </w:rPr>
      </w:pPr>
      <w:r w:rsidRPr="000D69C5">
        <w:rPr>
          <w:rFonts w:ascii="Candara" w:hAnsi="Candara" w:cs="Tahoma"/>
          <w:color w:val="000000"/>
        </w:rPr>
        <w:lastRenderedPageBreak/>
        <w:t>Desde principios de 2007, ANEFA es miembro de la Federación de Áridos, que fundó junto con el Gremi d’Àrids de Catalunya, la Asociación de Empresas de Áridos de la Comunidad Valenciana – ARIVAL – y la Asociación Galega de Áridos – AGA.</w:t>
      </w:r>
    </w:p>
    <w:p w:rsidR="00CB64A4" w:rsidRPr="000D69C5" w:rsidRDefault="00CB64A4" w:rsidP="00CB64A4">
      <w:pPr>
        <w:spacing w:before="120"/>
        <w:jc w:val="both"/>
        <w:rPr>
          <w:rFonts w:ascii="Candara" w:hAnsi="Candara" w:cs="Tahoma"/>
          <w:color w:val="000000"/>
        </w:rPr>
      </w:pPr>
      <w:r w:rsidRPr="000D69C5">
        <w:rPr>
          <w:rFonts w:ascii="Candara" w:hAnsi="Candara" w:cs="Tahoma"/>
          <w:color w:val="000000"/>
        </w:rPr>
        <w:t>Hasta entonces, ANEFA ha ostentado la representación del sector de áridos, tanto en el plano nacional como en el ámbito internacional, ejerciendo la representación oficial del sector español de los áridos en la Unión Europea de Productores de Áridos (UEPG), organización que agrupa a 32 países europeos, en la Federación Iberoamericana de Productores de Áridos (FIPA), en el Comité Europeo de Normalización (CEN) y en otros organismos internacionales.</w:t>
      </w:r>
    </w:p>
    <w:p w:rsidR="00CB64A4" w:rsidRPr="000D69C5" w:rsidRDefault="00CB64A4" w:rsidP="00CB64A4">
      <w:pPr>
        <w:pStyle w:val="Textoindependiente"/>
        <w:spacing w:before="120"/>
        <w:rPr>
          <w:rFonts w:ascii="Candara" w:hAnsi="Candara" w:cs="Tahoma"/>
          <w:color w:val="000000"/>
        </w:rPr>
      </w:pPr>
      <w:r w:rsidRPr="000D69C5">
        <w:rPr>
          <w:rFonts w:ascii="Candara" w:hAnsi="Candara" w:cs="Tahoma"/>
          <w:color w:val="000000"/>
        </w:rPr>
        <w:t>A través de la Federación de Áridos, ANEFA está integrada en la Confederación Española de Asociaciones de Fabricantes de Productos de Construcción – CEPCO, en la Confederación de Industrias Extractivas de Rocas y Minerales Industriales – COMINROC, en la Confederación Española de Organizaciones Empresariales – CEOE y en la Confederación Nacional de la Construcción – CNC.</w:t>
      </w:r>
    </w:p>
    <w:p w:rsidR="00312242" w:rsidRPr="00312242" w:rsidRDefault="00312242" w:rsidP="000F2F8C">
      <w:pPr>
        <w:tabs>
          <w:tab w:val="left" w:pos="5348"/>
        </w:tabs>
        <w:spacing w:before="120"/>
        <w:jc w:val="both"/>
        <w:rPr>
          <w:rFonts w:ascii="Candara" w:hAnsi="Candara" w:cs="Tahoma"/>
          <w:highlight w:val="yellow"/>
        </w:rPr>
      </w:pPr>
    </w:p>
    <w:p w:rsidR="0051050A" w:rsidRPr="000D69C5" w:rsidRDefault="00B419FC" w:rsidP="00763714">
      <w:pPr>
        <w:jc w:val="center"/>
        <w:rPr>
          <w:rFonts w:ascii="Candara" w:hAnsi="Candara"/>
          <w:b/>
          <w:color w:val="E36C0A"/>
          <w:sz w:val="32"/>
          <w:szCs w:val="32"/>
          <w:u w:val="single"/>
        </w:rPr>
      </w:pPr>
      <w:r w:rsidRPr="00312242">
        <w:rPr>
          <w:rFonts w:ascii="Candara" w:hAnsi="Candara"/>
          <w:b/>
          <w:color w:val="632423"/>
          <w:u w:val="single"/>
        </w:rPr>
        <w:br w:type="page"/>
      </w:r>
      <w:r w:rsidR="00B9157A" w:rsidRPr="000D69C5">
        <w:rPr>
          <w:rFonts w:ascii="Candara" w:hAnsi="Candara"/>
          <w:b/>
          <w:color w:val="E36C0A"/>
          <w:sz w:val="32"/>
          <w:szCs w:val="32"/>
          <w:u w:val="single"/>
        </w:rPr>
        <w:lastRenderedPageBreak/>
        <w:t>DECLARACIONES DEL PRESIDENTE DE ANEFA</w:t>
      </w:r>
    </w:p>
    <w:p w:rsidR="0051050A" w:rsidRPr="0051050A" w:rsidRDefault="0051050A" w:rsidP="0051050A">
      <w:pPr>
        <w:jc w:val="both"/>
        <w:rPr>
          <w:rFonts w:ascii="Candara" w:hAnsi="Candara"/>
          <w:b/>
          <w:u w:val="single"/>
        </w:rPr>
      </w:pPr>
    </w:p>
    <w:p w:rsidR="001C6C40" w:rsidRPr="0051050A" w:rsidRDefault="001C6C40" w:rsidP="001C6C40">
      <w:pPr>
        <w:pStyle w:val="Textoindependiente"/>
        <w:rPr>
          <w:rFonts w:ascii="Candara" w:hAnsi="Candara"/>
          <w:b/>
          <w:bCs/>
          <w:i/>
        </w:rPr>
      </w:pPr>
      <w:r w:rsidRPr="0051050A">
        <w:rPr>
          <w:rFonts w:ascii="Candara" w:hAnsi="Candara"/>
          <w:i/>
        </w:rPr>
        <w:t>Por Javier Andrada Andrada</w:t>
      </w:r>
      <w:r w:rsidR="001F5AF1">
        <w:rPr>
          <w:rFonts w:ascii="Candara" w:hAnsi="Candara"/>
          <w:i/>
          <w:noProof/>
          <w:lang w:val="es-ES" w:eastAsia="es-ES"/>
        </w:rPr>
        <w:drawing>
          <wp:anchor distT="0" distB="0" distL="114300" distR="114300" simplePos="0" relativeHeight="251660800" behindDoc="0" locked="0" layoutInCell="1" allowOverlap="1">
            <wp:simplePos x="0" y="0"/>
            <wp:positionH relativeFrom="page">
              <wp:posOffset>4970780</wp:posOffset>
            </wp:positionH>
            <wp:positionV relativeFrom="page">
              <wp:posOffset>4330065</wp:posOffset>
            </wp:positionV>
            <wp:extent cx="2144395" cy="3395980"/>
            <wp:effectExtent l="19050" t="0" r="8255" b="0"/>
            <wp:wrapThrough wrapText="bothSides">
              <wp:wrapPolygon edited="0">
                <wp:start x="-192" y="0"/>
                <wp:lineTo x="-192" y="21447"/>
                <wp:lineTo x="21683" y="21447"/>
                <wp:lineTo x="21683" y="0"/>
                <wp:lineTo x="-192" y="0"/>
              </wp:wrapPolygon>
            </wp:wrapThrough>
            <wp:docPr id="3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1" cstate="print"/>
                    <a:srcRect/>
                    <a:stretch>
                      <a:fillRect/>
                    </a:stretch>
                  </pic:blipFill>
                  <pic:spPr bwMode="auto">
                    <a:xfrm>
                      <a:off x="0" y="0"/>
                      <a:ext cx="2144395" cy="3395980"/>
                    </a:xfrm>
                    <a:prstGeom prst="rect">
                      <a:avLst/>
                    </a:prstGeom>
                    <a:noFill/>
                    <a:ln w="9525">
                      <a:noFill/>
                      <a:miter lim="800000"/>
                      <a:headEnd/>
                      <a:tailEnd/>
                    </a:ln>
                  </pic:spPr>
                </pic:pic>
              </a:graphicData>
            </a:graphic>
          </wp:anchor>
        </w:drawing>
      </w:r>
      <w:r w:rsidR="001F5AF1">
        <w:rPr>
          <w:rFonts w:ascii="Candara" w:hAnsi="Candara"/>
          <w:i/>
          <w:noProof/>
          <w:lang w:val="es-ES" w:eastAsia="es-ES"/>
        </w:rPr>
        <w:drawing>
          <wp:anchor distT="0" distB="0" distL="114300" distR="114300" simplePos="0" relativeHeight="251659776" behindDoc="0" locked="0" layoutInCell="1" allowOverlap="1">
            <wp:simplePos x="0" y="0"/>
            <wp:positionH relativeFrom="page">
              <wp:posOffset>4970780</wp:posOffset>
            </wp:positionH>
            <wp:positionV relativeFrom="page">
              <wp:posOffset>4330065</wp:posOffset>
            </wp:positionV>
            <wp:extent cx="2144395" cy="3395980"/>
            <wp:effectExtent l="19050" t="0" r="8255" b="0"/>
            <wp:wrapThrough wrapText="bothSides">
              <wp:wrapPolygon edited="0">
                <wp:start x="-192" y="0"/>
                <wp:lineTo x="-192" y="21447"/>
                <wp:lineTo x="21683" y="21447"/>
                <wp:lineTo x="21683" y="0"/>
                <wp:lineTo x="-192" y="0"/>
              </wp:wrapPolygon>
            </wp:wrapThrough>
            <wp:docPr id="3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1" cstate="print"/>
                    <a:srcRect/>
                    <a:stretch>
                      <a:fillRect/>
                    </a:stretch>
                  </pic:blipFill>
                  <pic:spPr bwMode="auto">
                    <a:xfrm>
                      <a:off x="0" y="0"/>
                      <a:ext cx="2144395" cy="3395980"/>
                    </a:xfrm>
                    <a:prstGeom prst="rect">
                      <a:avLst/>
                    </a:prstGeom>
                    <a:noFill/>
                    <a:ln w="9525">
                      <a:noFill/>
                      <a:miter lim="800000"/>
                      <a:headEnd/>
                      <a:tailEnd/>
                    </a:ln>
                  </pic:spPr>
                </pic:pic>
              </a:graphicData>
            </a:graphic>
          </wp:anchor>
        </w:drawing>
      </w:r>
    </w:p>
    <w:p w:rsidR="0051050A" w:rsidRDefault="0051050A" w:rsidP="0051050A">
      <w:pPr>
        <w:jc w:val="both"/>
        <w:rPr>
          <w:rFonts w:ascii="Candara" w:hAnsi="Candara"/>
          <w:b/>
          <w:u w:val="single"/>
          <w:lang w:val="es-ES"/>
        </w:rPr>
      </w:pPr>
    </w:p>
    <w:p w:rsidR="00CB64A4" w:rsidRPr="000D69C5" w:rsidRDefault="00CB64A4" w:rsidP="00CB64A4">
      <w:pPr>
        <w:spacing w:before="120"/>
        <w:jc w:val="both"/>
        <w:rPr>
          <w:rFonts w:ascii="Candara" w:hAnsi="Candara"/>
        </w:rPr>
      </w:pPr>
      <w:r w:rsidRPr="000D69C5">
        <w:rPr>
          <w:rFonts w:ascii="Candara" w:hAnsi="Candara"/>
        </w:rPr>
        <w:t>A un año vista de la finalización de mi mandato, puede decirse que estamos todos asistiendo al desarrollo de una época histórica para el mundo, para Europa y para nuestro país, que alumbrará un entorno diferente a lo conocido anteriormente.</w:t>
      </w:r>
    </w:p>
    <w:p w:rsidR="00CB64A4" w:rsidRPr="000D69C5" w:rsidRDefault="00CB64A4" w:rsidP="00CB64A4">
      <w:pPr>
        <w:spacing w:before="120"/>
        <w:jc w:val="both"/>
        <w:rPr>
          <w:rFonts w:ascii="Candara" w:hAnsi="Candara" w:cs="Verdana"/>
          <w:lang w:val="es-ES"/>
        </w:rPr>
      </w:pPr>
      <w:r w:rsidRPr="000D69C5">
        <w:rPr>
          <w:rFonts w:ascii="Candara" w:hAnsi="Candara" w:cs="Verdana"/>
          <w:lang w:val="es-ES"/>
        </w:rPr>
        <w:t>La recesión por la que atraviesa el país se ve agravada por la falta de políticas efectivas de apoyo a los sectores industriales, en general, y al sector de la construcción en particular – con especial énfasis en las medidas de subida de impuestos, recorte del gasto en inversiones productivas, en el endémico incumplimiento de la legislación de morosidad de las propias Administraciones y de las grandes empresas y en la crisis del sistema financiero –, colocando a las industrias de productos de construcción en una dramática situación que compromete el futuro de miles de empresas y de puestos de trabajo.</w:t>
      </w:r>
    </w:p>
    <w:p w:rsidR="00CB64A4" w:rsidRPr="000D69C5" w:rsidRDefault="00CB64A4" w:rsidP="00CB64A4">
      <w:pPr>
        <w:spacing w:before="120"/>
        <w:jc w:val="both"/>
        <w:rPr>
          <w:rFonts w:ascii="Candara" w:hAnsi="Candara"/>
        </w:rPr>
      </w:pPr>
      <w:r w:rsidRPr="000D69C5">
        <w:rPr>
          <w:rFonts w:ascii="Candara" w:hAnsi="Candara"/>
        </w:rPr>
        <w:t>La evolución de la situación económica desborda cualquier previsión que pudiera tenerse por bien fundada. Según nuestras estimaciones, en 2012, sexto año consecutivo de crisis del sector, el consumo de áridos para la construcción se ha vuelto a desplomar un –35%, hasta alcanzar unos valores absolutos nunca vistos, de menos de 115 millones de toneladas, siendo muy probable que en 2013 se consuman menos de 100 millones de toneladas, cifras sin precedentes.</w:t>
      </w:r>
    </w:p>
    <w:p w:rsidR="00CB64A4" w:rsidRPr="000D69C5" w:rsidRDefault="00CB64A4" w:rsidP="00CB64A4">
      <w:pPr>
        <w:widowControl w:val="0"/>
        <w:autoSpaceDE w:val="0"/>
        <w:autoSpaceDN w:val="0"/>
        <w:adjustRightInd w:val="0"/>
        <w:spacing w:before="120"/>
        <w:jc w:val="both"/>
        <w:rPr>
          <w:rFonts w:ascii="Candara" w:hAnsi="Candara" w:cs="Verdana"/>
          <w:lang w:val="es-ES"/>
        </w:rPr>
      </w:pPr>
      <w:r w:rsidRPr="000D69C5">
        <w:rPr>
          <w:rFonts w:ascii="Candara" w:hAnsi="Candara" w:cs="Verdana"/>
          <w:lang w:val="es-ES"/>
        </w:rPr>
        <w:t>Pocos sectores de la economía nacional están experimentando recesiones de esta gravedad (–80%), sin que se produzcan consecuencias irreversibles para muchas de las empresas.</w:t>
      </w:r>
    </w:p>
    <w:p w:rsidR="00CB64A4" w:rsidRPr="000D69C5" w:rsidRDefault="00CB64A4" w:rsidP="00CB64A4">
      <w:pPr>
        <w:spacing w:before="120"/>
        <w:jc w:val="both"/>
        <w:rPr>
          <w:rFonts w:ascii="Candara" w:hAnsi="Candara" w:cs="Tahoma"/>
        </w:rPr>
      </w:pPr>
      <w:r w:rsidRPr="000D69C5">
        <w:rPr>
          <w:rFonts w:ascii="Candara" w:hAnsi="Candara" w:cs="Tahoma"/>
        </w:rPr>
        <w:t xml:space="preserve">El Plan Estratégico 2012 – 2025 del Sector de los Áridos, fruto de un gran consenso empresarial, demuestra que ANEFA va un paso por delante en la defensa de los intereses de la industria, proponiendo iniciativas para la mejora de la rentabilidad, incrementando la productividad de las explotaciones, impulsando procesos de reestructuración empresarial que permitan aumentar el tamaño medio de las empresas para competir mejor y lograr economías de escala, así como mejorar la imagen y reputación del sector de los áridos ante el entorno social. </w:t>
      </w:r>
    </w:p>
    <w:p w:rsidR="00CB64A4" w:rsidRPr="000D69C5" w:rsidRDefault="00CB64A4" w:rsidP="00CB64A4">
      <w:pPr>
        <w:spacing w:before="120"/>
        <w:jc w:val="both"/>
        <w:rPr>
          <w:rFonts w:ascii="Candara" w:hAnsi="Candara" w:cs="Tahoma"/>
        </w:rPr>
      </w:pPr>
      <w:r w:rsidRPr="000D69C5">
        <w:rPr>
          <w:rFonts w:ascii="Candara" w:hAnsi="Candara" w:cs="Tahoma"/>
        </w:rPr>
        <w:t>Es imprescind</w:t>
      </w:r>
      <w:r w:rsidR="00E76229">
        <w:rPr>
          <w:rFonts w:ascii="Candara" w:hAnsi="Candara" w:cs="Tahoma"/>
        </w:rPr>
        <w:t>ible poder disponer de una Asociación</w:t>
      </w:r>
      <w:r w:rsidRPr="000D69C5">
        <w:rPr>
          <w:rFonts w:ascii="Candara" w:hAnsi="Candara" w:cs="Tahoma"/>
        </w:rPr>
        <w:t xml:space="preserve"> fuerte y bien integrada en otras entidades de rango superior (FdA, CEOE, CEPCO, COMINROC, UEPG y CNC) para reclamar y lograr un entorno sectorial más adecuado que el existente en la actualidad, aumentando la capacidad de prescripción del sector sobre las Administraciones Públicas, para promover iniciativas que mejoren el contexto económico y ayuden a la supervivencia de las empresas.</w:t>
      </w:r>
    </w:p>
    <w:p w:rsidR="00CB64A4" w:rsidRPr="000D69C5" w:rsidRDefault="000D6DDD" w:rsidP="00CB64A4">
      <w:pPr>
        <w:spacing w:before="120"/>
        <w:jc w:val="both"/>
        <w:rPr>
          <w:rFonts w:ascii="Candara" w:hAnsi="Candara"/>
        </w:rPr>
      </w:pPr>
      <w:r>
        <w:rPr>
          <w:rFonts w:ascii="Candara" w:hAnsi="Candara"/>
        </w:rPr>
        <w:lastRenderedPageBreak/>
        <w:t>En estos momentos difíciles</w:t>
      </w:r>
      <w:r w:rsidR="00CB64A4" w:rsidRPr="000D69C5">
        <w:rPr>
          <w:rFonts w:ascii="Candara" w:hAnsi="Candara"/>
        </w:rPr>
        <w:t xml:space="preserve">, ANEFA está experimentando una lógica evolución para acompasarse a los tiempos que nos está tocando vivir, pero sin dejar nunca de lado la vocación de crear valor para el sector, rasgo de carácter por el  que se le reconoce dentro y fuera de nuestro ámbito empresarial. </w:t>
      </w:r>
    </w:p>
    <w:p w:rsidR="00CB64A4" w:rsidRPr="000D69C5" w:rsidRDefault="000D6DDD" w:rsidP="00CB64A4">
      <w:pPr>
        <w:spacing w:before="120"/>
        <w:jc w:val="both"/>
        <w:rPr>
          <w:rFonts w:ascii="Candara" w:hAnsi="Candara"/>
        </w:rPr>
      </w:pPr>
      <w:r>
        <w:rPr>
          <w:rFonts w:ascii="Candara" w:hAnsi="Candara"/>
        </w:rPr>
        <w:t>Nuevamente, m</w:t>
      </w:r>
      <w:r w:rsidR="00CB64A4" w:rsidRPr="000D69C5">
        <w:rPr>
          <w:rFonts w:ascii="Candara" w:hAnsi="Candara"/>
        </w:rPr>
        <w:t>e permito insistir en que ser miembro de una Asociación con los 36 años de trayectoria de ANEFA es una inversión imprescindible pues, en estos complejos momentos, los empresarios debemos demostrar una mayor implicación, unión y cohesión, ya que ésta es la única vía posible para demandar y obtener soluciones que nos permitan afrontar con garantías esta crisis y proseguir en la tarea de consolidación de nuestro sector.</w:t>
      </w:r>
    </w:p>
    <w:p w:rsidR="00CB64A4" w:rsidRPr="000D69C5" w:rsidRDefault="00CB64A4" w:rsidP="00CB64A4">
      <w:pPr>
        <w:spacing w:before="120"/>
        <w:jc w:val="both"/>
        <w:rPr>
          <w:rFonts w:ascii="Candara" w:hAnsi="Candara"/>
        </w:rPr>
      </w:pPr>
      <w:r w:rsidRPr="000D69C5">
        <w:rPr>
          <w:rFonts w:ascii="Candara" w:hAnsi="Candara"/>
        </w:rPr>
        <w:t>Para ANEFA, la presentación del informe anual es un ejercicio de transparencia donde se transmite una imagen fiel de los esfuerzos que está realizando para apoyar a las empresas del sector en aquellos retos que son claves para ellas.</w:t>
      </w:r>
    </w:p>
    <w:p w:rsidR="00CB64A4" w:rsidRPr="000D69C5" w:rsidRDefault="00CB64A4" w:rsidP="00CB64A4">
      <w:pPr>
        <w:spacing w:before="120"/>
        <w:jc w:val="both"/>
        <w:rPr>
          <w:rFonts w:ascii="Candara" w:hAnsi="Candara"/>
        </w:rPr>
      </w:pPr>
      <w:r w:rsidRPr="000D69C5">
        <w:rPr>
          <w:rFonts w:ascii="Candara" w:hAnsi="Candara"/>
        </w:rPr>
        <w:t xml:space="preserve">Entre éstos, quiero enumerar brevemente, la excelente acogida que está teniendo la iniciativa del </w:t>
      </w:r>
      <w:r w:rsidRPr="000D69C5">
        <w:rPr>
          <w:rFonts w:ascii="Candara" w:hAnsi="Candara" w:cs="Tahoma"/>
        </w:rPr>
        <w:t xml:space="preserve">Plan Estratégico 2012 – 2025 del Sector de los Áridos, cuyas líneas de actuación estamos desarrollando, el éxito del III Congreso Nacional de Áridos, que nos ha permitido presentar nuestra problemática a las Administraciones, los logros en la defensa jurídica del sector, el desarrollo de nuevos servicios para apoyar a las empresas, </w:t>
      </w:r>
      <w:r w:rsidRPr="000D69C5">
        <w:rPr>
          <w:rFonts w:ascii="Candara" w:hAnsi="Candara"/>
        </w:rPr>
        <w:t>las acciones para la entrada en vigor del Reglamento de Productos de Construcción, la petición de medidas para la prevención de robos en explotaciones, la propuesta de iniciativas para dinamizar el sector de la construcción y para estabilizar la situación financiera de las empresas.</w:t>
      </w:r>
    </w:p>
    <w:p w:rsidR="00CB64A4" w:rsidRPr="000D69C5" w:rsidRDefault="00CB64A4" w:rsidP="00CB64A4">
      <w:pPr>
        <w:spacing w:before="120"/>
        <w:jc w:val="both"/>
        <w:rPr>
          <w:rFonts w:ascii="Candara" w:hAnsi="Candara"/>
        </w:rPr>
      </w:pPr>
      <w:r w:rsidRPr="000D69C5">
        <w:rPr>
          <w:rFonts w:ascii="Candara" w:hAnsi="Candara"/>
        </w:rPr>
        <w:t>No quiero olvidar otros logros que, por tantas veces repetidos, no son menos importantes, como el gran esfuerzo de formación y de información, la presentación de propuestas a legislación en desarrollo para evitar que se lesionen los intereses de las empresas, la labor de imagen y comunicación, la celebración del VI Día de los Árboles y los Áridos, etc.</w:t>
      </w:r>
    </w:p>
    <w:p w:rsidR="00CB64A4" w:rsidRPr="000D69C5" w:rsidRDefault="00CB64A4" w:rsidP="00CB64A4">
      <w:pPr>
        <w:spacing w:before="120"/>
        <w:jc w:val="both"/>
        <w:rPr>
          <w:rFonts w:ascii="Candara" w:hAnsi="Candara" w:cs="Tahoma"/>
        </w:rPr>
      </w:pPr>
      <w:r w:rsidRPr="000D69C5">
        <w:rPr>
          <w:rFonts w:ascii="Candara" w:hAnsi="Candara" w:cs="Tahoma"/>
        </w:rPr>
        <w:t xml:space="preserve">Aunque desde el año 2007 estamos aplicando una política necesariamente estricta de reducción de los costes, sin afectar, en lo posible, a las capacidades de actuación de la Asociación, hoy necesitamos, más que nunca, el compromiso decidido de las empresas. </w:t>
      </w:r>
    </w:p>
    <w:p w:rsidR="00CB64A4" w:rsidRPr="000D69C5" w:rsidRDefault="00CB64A4" w:rsidP="00CB64A4">
      <w:pPr>
        <w:spacing w:before="120"/>
        <w:jc w:val="both"/>
        <w:rPr>
          <w:rFonts w:ascii="Candara" w:hAnsi="Candara" w:cs="Tahoma"/>
        </w:rPr>
      </w:pPr>
      <w:r w:rsidRPr="000D69C5">
        <w:rPr>
          <w:rFonts w:ascii="Candara" w:hAnsi="Candara" w:cs="Tahoma"/>
        </w:rPr>
        <w:t>A pesar de las dificultades, sigo trabajado intensamente por la Asociación y por el sector, con el respaldo incansable de los miembros de la Junta Directiva, que me han prestado permanentemente una más que efectiva colaboración, lo que les agradezco en nombre propio y en el de todos los miembros de la Asociación.</w:t>
      </w:r>
    </w:p>
    <w:p w:rsidR="00CB64A4" w:rsidRDefault="00CB64A4" w:rsidP="00CB64A4">
      <w:pPr>
        <w:spacing w:before="120"/>
        <w:jc w:val="both"/>
        <w:rPr>
          <w:rFonts w:ascii="Candara" w:hAnsi="Candara" w:cs="Tahoma"/>
        </w:rPr>
      </w:pPr>
    </w:p>
    <w:p w:rsidR="000D6DDD" w:rsidRDefault="000D6DDD" w:rsidP="00CB64A4">
      <w:pPr>
        <w:spacing w:before="120"/>
        <w:jc w:val="both"/>
        <w:rPr>
          <w:rFonts w:ascii="Candara" w:hAnsi="Candara" w:cs="Tahoma"/>
        </w:rPr>
      </w:pPr>
    </w:p>
    <w:p w:rsidR="000D6DDD" w:rsidRPr="00C67D13" w:rsidRDefault="000D6DDD" w:rsidP="00CB64A4">
      <w:pPr>
        <w:spacing w:before="120"/>
        <w:jc w:val="both"/>
        <w:rPr>
          <w:rFonts w:ascii="Calibri" w:hAnsi="Calibri" w:cs="Tahoma"/>
          <w:sz w:val="22"/>
          <w:szCs w:val="22"/>
        </w:rPr>
      </w:pPr>
    </w:p>
    <w:p w:rsidR="00F31C4F" w:rsidRPr="000D6DDD" w:rsidRDefault="00F31C4F" w:rsidP="00F31C4F">
      <w:pPr>
        <w:jc w:val="center"/>
        <w:rPr>
          <w:rFonts w:cs="TimesNewRomanPSMT"/>
          <w:b/>
          <w:iCs/>
          <w:color w:val="E36C0A"/>
          <w:sz w:val="18"/>
          <w:szCs w:val="38"/>
          <w:lang w:bidi="es-ES_tradnl"/>
        </w:rPr>
      </w:pPr>
      <w:r w:rsidRPr="000D6DDD">
        <w:rPr>
          <w:rFonts w:cs="TimesNewRomanPSMT"/>
          <w:b/>
          <w:iCs/>
          <w:color w:val="E36C0A"/>
          <w:sz w:val="18"/>
          <w:szCs w:val="38"/>
          <w:lang w:bidi="es-ES_tradnl"/>
        </w:rPr>
        <w:t>Los áridos constituyen la segunda materia prima más consumida por el hombre tras el agua</w:t>
      </w:r>
    </w:p>
    <w:p w:rsidR="00F31C4F" w:rsidRPr="000D6DDD" w:rsidRDefault="00F31C4F" w:rsidP="00F31C4F">
      <w:pPr>
        <w:jc w:val="center"/>
        <w:rPr>
          <w:rFonts w:cs="TimesNewRomanPSMT"/>
          <w:b/>
          <w:iCs/>
          <w:color w:val="E36C0A"/>
          <w:sz w:val="18"/>
          <w:szCs w:val="38"/>
          <w:lang w:bidi="es-ES_tradnl"/>
        </w:rPr>
      </w:pPr>
      <w:r w:rsidRPr="000D6DDD">
        <w:rPr>
          <w:rFonts w:cs="TimesNewRomanPSMT"/>
          <w:b/>
          <w:iCs/>
          <w:color w:val="E36C0A"/>
          <w:sz w:val="18"/>
          <w:szCs w:val="38"/>
          <w:lang w:bidi="es-ES_tradnl"/>
        </w:rPr>
        <w:t>y son materiales insustituibles para la construcción y las obras públicas</w:t>
      </w:r>
    </w:p>
    <w:p w:rsidR="00F31C4F" w:rsidRPr="000D6DDD" w:rsidRDefault="00F31C4F" w:rsidP="00F31C4F">
      <w:pPr>
        <w:jc w:val="center"/>
        <w:rPr>
          <w:b/>
          <w:color w:val="E36C0A"/>
        </w:rPr>
      </w:pPr>
      <w:r w:rsidRPr="000D6DDD">
        <w:rPr>
          <w:b/>
          <w:color w:val="E36C0A"/>
        </w:rPr>
        <w:t>______________________________________________________________________</w:t>
      </w:r>
    </w:p>
    <w:p w:rsidR="00F31C4F" w:rsidRPr="000D6DDD" w:rsidRDefault="00F31C4F" w:rsidP="00F31C4F">
      <w:pPr>
        <w:jc w:val="center"/>
        <w:rPr>
          <w:rFonts w:cs="TimesNewRomanPSMT"/>
          <w:b/>
          <w:iCs/>
          <w:color w:val="E36C0A"/>
          <w:sz w:val="18"/>
          <w:szCs w:val="38"/>
          <w:lang w:bidi="es-ES_tradnl"/>
        </w:rPr>
      </w:pPr>
    </w:p>
    <w:p w:rsidR="00F31C4F" w:rsidRPr="000D6DDD" w:rsidRDefault="00F31C4F" w:rsidP="00F31C4F">
      <w:pPr>
        <w:jc w:val="center"/>
        <w:rPr>
          <w:rFonts w:cs="TimesNewRomanPSMT"/>
          <w:b/>
          <w:iCs/>
          <w:color w:val="E36C0A"/>
          <w:sz w:val="18"/>
          <w:szCs w:val="38"/>
          <w:lang w:bidi="es-ES_tradnl"/>
        </w:rPr>
      </w:pPr>
      <w:r w:rsidRPr="000D6DDD">
        <w:rPr>
          <w:rFonts w:cs="TimesNewRomanPSMT"/>
          <w:b/>
          <w:iCs/>
          <w:color w:val="E36C0A"/>
          <w:sz w:val="18"/>
          <w:szCs w:val="38"/>
          <w:lang w:bidi="es-ES_tradnl"/>
        </w:rPr>
        <w:t>Para más información: Gabinete de Comunicación de ANEFA</w:t>
      </w:r>
    </w:p>
    <w:p w:rsidR="00F31C4F" w:rsidRPr="000D6DDD" w:rsidRDefault="000D69C5" w:rsidP="00F31C4F">
      <w:pPr>
        <w:jc w:val="center"/>
        <w:rPr>
          <w:rFonts w:cs="TimesNewRomanPSMT"/>
          <w:b/>
          <w:iCs/>
          <w:color w:val="E36C0A"/>
          <w:sz w:val="18"/>
          <w:szCs w:val="38"/>
          <w:lang w:bidi="es-ES_tradnl"/>
        </w:rPr>
      </w:pPr>
      <w:r w:rsidRPr="000D6DDD">
        <w:rPr>
          <w:rFonts w:cs="TimesNewRomanPSMT"/>
          <w:b/>
          <w:iCs/>
          <w:color w:val="E36C0A"/>
          <w:sz w:val="18"/>
          <w:szCs w:val="38"/>
          <w:lang w:bidi="es-ES_tradnl"/>
        </w:rPr>
        <w:t>Tel: 91 5021417</w:t>
      </w:r>
      <w:r w:rsidR="00F31C4F" w:rsidRPr="000D6DDD">
        <w:rPr>
          <w:rFonts w:cs="TimesNewRomanPSMT"/>
          <w:b/>
          <w:iCs/>
          <w:color w:val="E36C0A"/>
          <w:sz w:val="18"/>
          <w:szCs w:val="38"/>
          <w:lang w:bidi="es-ES_tradnl"/>
        </w:rPr>
        <w:t>          Fax: 91 4339155              gprensa@aridos.org</w:t>
      </w:r>
    </w:p>
    <w:p w:rsidR="00F31C4F" w:rsidRPr="000D6DDD" w:rsidRDefault="00F31C4F" w:rsidP="004B246C">
      <w:pPr>
        <w:jc w:val="center"/>
        <w:rPr>
          <w:rFonts w:cs="TimesNewRomanPSMT"/>
          <w:b/>
          <w:iCs/>
          <w:color w:val="E36C0A"/>
          <w:sz w:val="18"/>
          <w:szCs w:val="38"/>
          <w:lang w:bidi="es-ES_tradnl"/>
        </w:rPr>
      </w:pPr>
      <w:r w:rsidRPr="000D6DDD">
        <w:rPr>
          <w:rFonts w:cs="TimesNewRomanPSMT"/>
          <w:b/>
          <w:iCs/>
          <w:color w:val="E36C0A"/>
          <w:sz w:val="18"/>
          <w:szCs w:val="38"/>
          <w:lang w:bidi="es-ES_tradnl"/>
        </w:rPr>
        <w:t>www.aridos.org</w:t>
      </w:r>
    </w:p>
    <w:sectPr w:rsidR="00F31C4F" w:rsidRPr="000D6DDD" w:rsidSect="00011028">
      <w:headerReference w:type="even" r:id="rId22"/>
      <w:headerReference w:type="default" r:id="rId23"/>
      <w:pgSz w:w="11900" w:h="16840"/>
      <w:pgMar w:top="1417" w:right="1701" w:bottom="1417" w:left="1701" w:header="708" w:footer="708"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A22" w:rsidRDefault="00FB3A22">
      <w:r>
        <w:separator/>
      </w:r>
    </w:p>
  </w:endnote>
  <w:endnote w:type="continuationSeparator" w:id="0">
    <w:p w:rsidR="00FB3A22" w:rsidRDefault="00FB3A2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utura-Obliq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ndara">
    <w:panose1 w:val="020E0502030303020204"/>
    <w:charset w:val="00"/>
    <w:family w:val="swiss"/>
    <w:pitch w:val="variable"/>
    <w:sig w:usb0="A00002EF" w:usb1="4000204B"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A22" w:rsidRDefault="00FB3A22">
      <w:r>
        <w:separator/>
      </w:r>
    </w:p>
  </w:footnote>
  <w:footnote w:type="continuationSeparator" w:id="0">
    <w:p w:rsidR="00FB3A22" w:rsidRDefault="00FB3A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028" w:rsidRDefault="00011028">
    <w:pPr>
      <w:pStyle w:val="Encabezado"/>
    </w:pPr>
    <w:r>
      <w:rPr>
        <w:szCs w:val="20"/>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5pt;height:842pt;z-index:-251659264;mso-wrap-edited:f;mso-position-horizontal:center;mso-position-horizontal-relative:margin;mso-position-vertical:center;mso-position-vertical-relative:margin" wrapcoords="-27 0 -27 21580 21600 21580 21600 0 -27 0">
          <v:imagedata r:id="rId1" o:title="NotaPrensaANEFA"/>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F32" w:rsidRDefault="00F41F32">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8" type="#_x0000_t75" style="position:absolute;margin-left:-85.4pt;margin-top:-75.35pt;width:595pt;height:842pt;z-index:-251658240;mso-wrap-edited:f;mso-position-horizontal-relative:margin;mso-position-vertical-relative:margin" wrapcoords="-27 0 -27 21580 21600 21580 21600 0 -27 0">
          <v:imagedata r:id="rId1" o:title="NotaPrensaANEFA"/>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6E3"/>
    <w:multiLevelType w:val="hybridMultilevel"/>
    <w:tmpl w:val="61BE1606"/>
    <w:lvl w:ilvl="0" w:tplc="0C0A0005">
      <w:start w:val="1"/>
      <w:numFmt w:val="bullet"/>
      <w:lvlText w:val=""/>
      <w:lvlJc w:val="left"/>
      <w:pPr>
        <w:ind w:left="36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B">
      <w:start w:val="1"/>
      <w:numFmt w:val="bullet"/>
      <w:lvlText w:val=""/>
      <w:lvlJc w:val="left"/>
      <w:pPr>
        <w:tabs>
          <w:tab w:val="num" w:pos="2880"/>
        </w:tabs>
        <w:ind w:left="2880" w:hanging="360"/>
      </w:pPr>
      <w:rPr>
        <w:rFonts w:ascii="Wingdings" w:hAnsi="Wingdings" w:hint="default"/>
      </w:rPr>
    </w:lvl>
    <w:lvl w:ilvl="4" w:tplc="0C0A000F">
      <w:start w:val="1"/>
      <w:numFmt w:val="decimal"/>
      <w:lvlText w:val="%5."/>
      <w:lvlJc w:val="left"/>
      <w:pPr>
        <w:tabs>
          <w:tab w:val="num" w:pos="3600"/>
        </w:tabs>
        <w:ind w:left="3600" w:hanging="360"/>
      </w:pPr>
    </w:lvl>
    <w:lvl w:ilvl="5" w:tplc="57C6CB9C">
      <w:start w:val="2"/>
      <w:numFmt w:val="bullet"/>
      <w:lvlText w:val="-"/>
      <w:lvlJc w:val="left"/>
      <w:pPr>
        <w:tabs>
          <w:tab w:val="num" w:pos="4320"/>
        </w:tabs>
        <w:ind w:left="4320" w:hanging="360"/>
      </w:pPr>
      <w:rPr>
        <w:rFonts w:ascii="Times New Roman" w:eastAsia="Times New Roman" w:hAnsi="Times New Roman" w:cs="Times New Roman"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CFD0252"/>
    <w:multiLevelType w:val="hybridMultilevel"/>
    <w:tmpl w:val="6B5E61B8"/>
    <w:lvl w:ilvl="0" w:tplc="53E613D8">
      <w:start w:val="1"/>
      <w:numFmt w:val="bullet"/>
      <w:lvlText w:val="•"/>
      <w:lvlJc w:val="left"/>
      <w:pPr>
        <w:tabs>
          <w:tab w:val="num" w:pos="360"/>
        </w:tabs>
        <w:ind w:left="0" w:firstLine="0"/>
      </w:pPr>
      <w:rPr>
        <w:rFonts w:ascii="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15A47429"/>
    <w:multiLevelType w:val="hybridMultilevel"/>
    <w:tmpl w:val="92E8685E"/>
    <w:lvl w:ilvl="0" w:tplc="9F4E1402">
      <w:start w:val="1"/>
      <w:numFmt w:val="bullet"/>
      <w:lvlText w:val=""/>
      <w:lvlJc w:val="left"/>
      <w:pPr>
        <w:tabs>
          <w:tab w:val="num" w:pos="6051"/>
        </w:tabs>
        <w:ind w:left="6051" w:hanging="360"/>
      </w:pPr>
      <w:rPr>
        <w:rFonts w:ascii="Wingdings" w:hAnsi="Wingdings" w:hint="default"/>
        <w:lang w:val="es-ES"/>
      </w:rPr>
    </w:lvl>
    <w:lvl w:ilvl="1" w:tplc="040A0003">
      <w:start w:val="1"/>
      <w:numFmt w:val="bullet"/>
      <w:lvlText w:val="o"/>
      <w:lvlJc w:val="left"/>
      <w:pPr>
        <w:tabs>
          <w:tab w:val="num" w:pos="3054"/>
        </w:tabs>
        <w:ind w:left="3054" w:hanging="360"/>
      </w:pPr>
      <w:rPr>
        <w:rFonts w:ascii="Courier New" w:hAnsi="Courier New" w:cs="Courier New" w:hint="default"/>
      </w:rPr>
    </w:lvl>
    <w:lvl w:ilvl="2" w:tplc="6976410E">
      <w:numFmt w:val="bullet"/>
      <w:lvlText w:val="-"/>
      <w:lvlJc w:val="left"/>
      <w:pPr>
        <w:tabs>
          <w:tab w:val="num" w:pos="7491"/>
        </w:tabs>
        <w:ind w:left="7491" w:hanging="360"/>
      </w:pPr>
      <w:rPr>
        <w:rFonts w:ascii="Arial" w:eastAsia="Times New Roman" w:hAnsi="Arial" w:cs="Arial" w:hint="default"/>
      </w:rPr>
    </w:lvl>
    <w:lvl w:ilvl="3" w:tplc="040A0001">
      <w:start w:val="1"/>
      <w:numFmt w:val="bullet"/>
      <w:lvlText w:val=""/>
      <w:lvlJc w:val="left"/>
      <w:pPr>
        <w:tabs>
          <w:tab w:val="num" w:pos="8211"/>
        </w:tabs>
        <w:ind w:left="8211" w:hanging="360"/>
      </w:pPr>
      <w:rPr>
        <w:rFonts w:ascii="Symbol" w:hAnsi="Symbol" w:hint="default"/>
      </w:rPr>
    </w:lvl>
    <w:lvl w:ilvl="4" w:tplc="040A0003" w:tentative="1">
      <w:start w:val="1"/>
      <w:numFmt w:val="bullet"/>
      <w:lvlText w:val="o"/>
      <w:lvlJc w:val="left"/>
      <w:pPr>
        <w:tabs>
          <w:tab w:val="num" w:pos="8931"/>
        </w:tabs>
        <w:ind w:left="8931" w:hanging="360"/>
      </w:pPr>
      <w:rPr>
        <w:rFonts w:ascii="Courier New" w:hAnsi="Courier New" w:cs="Courier New" w:hint="default"/>
      </w:rPr>
    </w:lvl>
    <w:lvl w:ilvl="5" w:tplc="040A0005" w:tentative="1">
      <w:start w:val="1"/>
      <w:numFmt w:val="bullet"/>
      <w:lvlText w:val=""/>
      <w:lvlJc w:val="left"/>
      <w:pPr>
        <w:tabs>
          <w:tab w:val="num" w:pos="9651"/>
        </w:tabs>
        <w:ind w:left="9651" w:hanging="360"/>
      </w:pPr>
      <w:rPr>
        <w:rFonts w:ascii="Wingdings" w:hAnsi="Wingdings" w:hint="default"/>
      </w:rPr>
    </w:lvl>
    <w:lvl w:ilvl="6" w:tplc="040A0001" w:tentative="1">
      <w:start w:val="1"/>
      <w:numFmt w:val="bullet"/>
      <w:lvlText w:val=""/>
      <w:lvlJc w:val="left"/>
      <w:pPr>
        <w:tabs>
          <w:tab w:val="num" w:pos="10371"/>
        </w:tabs>
        <w:ind w:left="10371" w:hanging="360"/>
      </w:pPr>
      <w:rPr>
        <w:rFonts w:ascii="Symbol" w:hAnsi="Symbol" w:hint="default"/>
      </w:rPr>
    </w:lvl>
    <w:lvl w:ilvl="7" w:tplc="040A0003" w:tentative="1">
      <w:start w:val="1"/>
      <w:numFmt w:val="bullet"/>
      <w:lvlText w:val="o"/>
      <w:lvlJc w:val="left"/>
      <w:pPr>
        <w:tabs>
          <w:tab w:val="num" w:pos="11091"/>
        </w:tabs>
        <w:ind w:left="11091" w:hanging="360"/>
      </w:pPr>
      <w:rPr>
        <w:rFonts w:ascii="Courier New" w:hAnsi="Courier New" w:cs="Courier New" w:hint="default"/>
      </w:rPr>
    </w:lvl>
    <w:lvl w:ilvl="8" w:tplc="040A0005" w:tentative="1">
      <w:start w:val="1"/>
      <w:numFmt w:val="bullet"/>
      <w:lvlText w:val=""/>
      <w:lvlJc w:val="left"/>
      <w:pPr>
        <w:tabs>
          <w:tab w:val="num" w:pos="11811"/>
        </w:tabs>
        <w:ind w:left="11811" w:hanging="360"/>
      </w:pPr>
      <w:rPr>
        <w:rFonts w:ascii="Wingdings" w:hAnsi="Wingdings" w:hint="default"/>
      </w:rPr>
    </w:lvl>
  </w:abstractNum>
  <w:abstractNum w:abstractNumId="3">
    <w:nsid w:val="199478FA"/>
    <w:multiLevelType w:val="hybridMultilevel"/>
    <w:tmpl w:val="D8BC29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1A900AD"/>
    <w:multiLevelType w:val="singleLevel"/>
    <w:tmpl w:val="FFFFFFFF"/>
    <w:lvl w:ilvl="0">
      <w:numFmt w:val="decimal"/>
      <w:lvlText w:val="*"/>
      <w:lvlJc w:val="left"/>
    </w:lvl>
  </w:abstractNum>
  <w:abstractNum w:abstractNumId="5">
    <w:nsid w:val="22B818A3"/>
    <w:multiLevelType w:val="hybridMultilevel"/>
    <w:tmpl w:val="913E8D34"/>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6">
    <w:nsid w:val="247559F5"/>
    <w:multiLevelType w:val="hybridMultilevel"/>
    <w:tmpl w:val="9926AC4E"/>
    <w:lvl w:ilvl="0" w:tplc="53E613D8">
      <w:start w:val="1"/>
      <w:numFmt w:val="bullet"/>
      <w:lvlText w:val="•"/>
      <w:lvlJc w:val="left"/>
      <w:pPr>
        <w:tabs>
          <w:tab w:val="num" w:pos="360"/>
        </w:tabs>
        <w:ind w:left="0" w:firstLine="0"/>
      </w:pPr>
      <w:rPr>
        <w:rFonts w:ascii="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A07C4964">
      <w:numFmt w:val="bullet"/>
      <w:lvlText w:val="-"/>
      <w:lvlJc w:val="left"/>
      <w:pPr>
        <w:tabs>
          <w:tab w:val="num" w:pos="2880"/>
        </w:tabs>
        <w:ind w:left="2880" w:hanging="360"/>
      </w:pPr>
      <w:rPr>
        <w:rFonts w:ascii="Times New Roman" w:eastAsia="Times New Roman" w:hAnsi="Times New Roman" w:cs="Times New Roman"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568358D"/>
    <w:multiLevelType w:val="singleLevel"/>
    <w:tmpl w:val="FFFFFFFF"/>
    <w:lvl w:ilvl="0">
      <w:numFmt w:val="decimal"/>
      <w:lvlText w:val="*"/>
      <w:lvlJc w:val="left"/>
    </w:lvl>
  </w:abstractNum>
  <w:abstractNum w:abstractNumId="8">
    <w:nsid w:val="36A05F2B"/>
    <w:multiLevelType w:val="hybridMultilevel"/>
    <w:tmpl w:val="F16E94AE"/>
    <w:lvl w:ilvl="0" w:tplc="FFFFFFFF">
      <w:start w:val="1"/>
      <w:numFmt w:val="bullet"/>
      <w:lvlText w:val=""/>
      <w:lvlJc w:val="left"/>
      <w:pPr>
        <w:tabs>
          <w:tab w:val="num" w:pos="1428"/>
        </w:tabs>
        <w:ind w:left="1428"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BB436E2"/>
    <w:multiLevelType w:val="singleLevel"/>
    <w:tmpl w:val="55C6E6E6"/>
    <w:lvl w:ilvl="0">
      <w:start w:val="4"/>
      <w:numFmt w:val="bullet"/>
      <w:lvlText w:val="-"/>
      <w:lvlJc w:val="left"/>
      <w:pPr>
        <w:tabs>
          <w:tab w:val="num" w:pos="360"/>
        </w:tabs>
        <w:ind w:left="360" w:hanging="360"/>
      </w:pPr>
      <w:rPr>
        <w:rFonts w:ascii="Times New Roman" w:hAnsi="Times New Roman" w:hint="default"/>
      </w:rPr>
    </w:lvl>
  </w:abstractNum>
  <w:abstractNum w:abstractNumId="10">
    <w:nsid w:val="437D5EA0"/>
    <w:multiLevelType w:val="hybridMultilevel"/>
    <w:tmpl w:val="DD9895F8"/>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4F500166"/>
    <w:multiLevelType w:val="hybridMultilevel"/>
    <w:tmpl w:val="9872FCC6"/>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7"/>
    <w:lvlOverride w:ilvl="0"/>
  </w:num>
  <w:num w:numId="8">
    <w:abstractNumId w:val="4"/>
  </w:num>
  <w:num w:numId="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3"/>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7B3AE7"/>
    <w:rsid w:val="00011028"/>
    <w:rsid w:val="00013600"/>
    <w:rsid w:val="00032E3E"/>
    <w:rsid w:val="00051932"/>
    <w:rsid w:val="0009316E"/>
    <w:rsid w:val="000D0078"/>
    <w:rsid w:val="000D0339"/>
    <w:rsid w:val="000D69C5"/>
    <w:rsid w:val="000D6DDD"/>
    <w:rsid w:val="000D75B3"/>
    <w:rsid w:val="000E153A"/>
    <w:rsid w:val="000E52A2"/>
    <w:rsid w:val="000F2F8C"/>
    <w:rsid w:val="00133F6A"/>
    <w:rsid w:val="001367BE"/>
    <w:rsid w:val="00140BB1"/>
    <w:rsid w:val="00144C7E"/>
    <w:rsid w:val="001505C7"/>
    <w:rsid w:val="001559D8"/>
    <w:rsid w:val="00176750"/>
    <w:rsid w:val="00190961"/>
    <w:rsid w:val="00194B86"/>
    <w:rsid w:val="001A17D3"/>
    <w:rsid w:val="001A2968"/>
    <w:rsid w:val="001B3D6E"/>
    <w:rsid w:val="001B502C"/>
    <w:rsid w:val="001B5E40"/>
    <w:rsid w:val="001C1CE4"/>
    <w:rsid w:val="001C6C40"/>
    <w:rsid w:val="001F5AF1"/>
    <w:rsid w:val="002136E1"/>
    <w:rsid w:val="00222561"/>
    <w:rsid w:val="00225836"/>
    <w:rsid w:val="0023323E"/>
    <w:rsid w:val="0029513E"/>
    <w:rsid w:val="002C59B0"/>
    <w:rsid w:val="002C60A4"/>
    <w:rsid w:val="002C7D62"/>
    <w:rsid w:val="002D3127"/>
    <w:rsid w:val="002E13FD"/>
    <w:rsid w:val="002E290D"/>
    <w:rsid w:val="002E292F"/>
    <w:rsid w:val="002F4ABA"/>
    <w:rsid w:val="00307504"/>
    <w:rsid w:val="00312242"/>
    <w:rsid w:val="00312EB3"/>
    <w:rsid w:val="00316579"/>
    <w:rsid w:val="00377521"/>
    <w:rsid w:val="00380CEC"/>
    <w:rsid w:val="0039236A"/>
    <w:rsid w:val="003C5955"/>
    <w:rsid w:val="003F58C3"/>
    <w:rsid w:val="0041678A"/>
    <w:rsid w:val="004401C8"/>
    <w:rsid w:val="004454B5"/>
    <w:rsid w:val="00470EA2"/>
    <w:rsid w:val="00494ADA"/>
    <w:rsid w:val="004B065B"/>
    <w:rsid w:val="004B246C"/>
    <w:rsid w:val="004F3793"/>
    <w:rsid w:val="0051050A"/>
    <w:rsid w:val="00513F44"/>
    <w:rsid w:val="00530532"/>
    <w:rsid w:val="00542405"/>
    <w:rsid w:val="00557002"/>
    <w:rsid w:val="00563512"/>
    <w:rsid w:val="005A0BE5"/>
    <w:rsid w:val="005C1C67"/>
    <w:rsid w:val="005E00DE"/>
    <w:rsid w:val="005F2911"/>
    <w:rsid w:val="00617F0F"/>
    <w:rsid w:val="00624F5E"/>
    <w:rsid w:val="00631BE4"/>
    <w:rsid w:val="006361AF"/>
    <w:rsid w:val="006475B3"/>
    <w:rsid w:val="00647829"/>
    <w:rsid w:val="006557A8"/>
    <w:rsid w:val="006564F3"/>
    <w:rsid w:val="00671310"/>
    <w:rsid w:val="006756C9"/>
    <w:rsid w:val="006A6001"/>
    <w:rsid w:val="006B1889"/>
    <w:rsid w:val="006D2D02"/>
    <w:rsid w:val="006D750A"/>
    <w:rsid w:val="00763714"/>
    <w:rsid w:val="00764377"/>
    <w:rsid w:val="00770BDF"/>
    <w:rsid w:val="007D60B0"/>
    <w:rsid w:val="007E256E"/>
    <w:rsid w:val="007F6E66"/>
    <w:rsid w:val="008005BF"/>
    <w:rsid w:val="008352FF"/>
    <w:rsid w:val="00835562"/>
    <w:rsid w:val="008449F8"/>
    <w:rsid w:val="00872F18"/>
    <w:rsid w:val="0088500C"/>
    <w:rsid w:val="00890CF8"/>
    <w:rsid w:val="0089373B"/>
    <w:rsid w:val="00903E9D"/>
    <w:rsid w:val="00911F6D"/>
    <w:rsid w:val="009303D7"/>
    <w:rsid w:val="0096150C"/>
    <w:rsid w:val="0098047F"/>
    <w:rsid w:val="009807EB"/>
    <w:rsid w:val="0099451E"/>
    <w:rsid w:val="0099680F"/>
    <w:rsid w:val="009E6A75"/>
    <w:rsid w:val="00A15E62"/>
    <w:rsid w:val="00A231E0"/>
    <w:rsid w:val="00A5112B"/>
    <w:rsid w:val="00A703D9"/>
    <w:rsid w:val="00A709E8"/>
    <w:rsid w:val="00A83EF4"/>
    <w:rsid w:val="00A94E76"/>
    <w:rsid w:val="00AC6F5B"/>
    <w:rsid w:val="00AF62B2"/>
    <w:rsid w:val="00B01AB7"/>
    <w:rsid w:val="00B06415"/>
    <w:rsid w:val="00B202D4"/>
    <w:rsid w:val="00B419FC"/>
    <w:rsid w:val="00B9157A"/>
    <w:rsid w:val="00BD2EAA"/>
    <w:rsid w:val="00BF4310"/>
    <w:rsid w:val="00C174ED"/>
    <w:rsid w:val="00C26D97"/>
    <w:rsid w:val="00C3720B"/>
    <w:rsid w:val="00C412C2"/>
    <w:rsid w:val="00C4567B"/>
    <w:rsid w:val="00C539A5"/>
    <w:rsid w:val="00C830AA"/>
    <w:rsid w:val="00C92EE6"/>
    <w:rsid w:val="00CA15FB"/>
    <w:rsid w:val="00CB5F55"/>
    <w:rsid w:val="00CB64A4"/>
    <w:rsid w:val="00CC5812"/>
    <w:rsid w:val="00CD0BDE"/>
    <w:rsid w:val="00CD593C"/>
    <w:rsid w:val="00CF0144"/>
    <w:rsid w:val="00D33243"/>
    <w:rsid w:val="00DA0098"/>
    <w:rsid w:val="00DA66CA"/>
    <w:rsid w:val="00DB1BF8"/>
    <w:rsid w:val="00DB2C5C"/>
    <w:rsid w:val="00DB4E45"/>
    <w:rsid w:val="00DB78BC"/>
    <w:rsid w:val="00DE3BA7"/>
    <w:rsid w:val="00E435DE"/>
    <w:rsid w:val="00E514B2"/>
    <w:rsid w:val="00E63CA3"/>
    <w:rsid w:val="00E648FC"/>
    <w:rsid w:val="00E71466"/>
    <w:rsid w:val="00E732D8"/>
    <w:rsid w:val="00E747E3"/>
    <w:rsid w:val="00E76229"/>
    <w:rsid w:val="00E94AFF"/>
    <w:rsid w:val="00EE7CB6"/>
    <w:rsid w:val="00F06002"/>
    <w:rsid w:val="00F31C4F"/>
    <w:rsid w:val="00F41F32"/>
    <w:rsid w:val="00F5195B"/>
    <w:rsid w:val="00F63B32"/>
    <w:rsid w:val="00F71C8D"/>
    <w:rsid w:val="00F7565E"/>
    <w:rsid w:val="00F7664A"/>
    <w:rsid w:val="00FA1759"/>
    <w:rsid w:val="00FB3A22"/>
    <w:rsid w:val="00FC7DB1"/>
    <w:rsid w:val="00FD1B44"/>
    <w:rsid w:val="00FE2212"/>
    <w:rsid w:val="00FE30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qFormat/>
    <w:rsid w:val="00647829"/>
    <w:pPr>
      <w:keepNext/>
      <w:outlineLvl w:val="0"/>
    </w:pPr>
    <w:rPr>
      <w:b/>
      <w:bCs/>
      <w:lang/>
    </w:rPr>
  </w:style>
  <w:style w:type="paragraph" w:styleId="Ttulo2">
    <w:name w:val="heading 2"/>
    <w:basedOn w:val="Normal"/>
    <w:next w:val="Normal"/>
    <w:link w:val="Ttulo2Car"/>
    <w:qFormat/>
    <w:rsid w:val="00647829"/>
    <w:pPr>
      <w:keepNext/>
      <w:autoSpaceDE w:val="0"/>
      <w:autoSpaceDN w:val="0"/>
      <w:adjustRightInd w:val="0"/>
      <w:outlineLvl w:val="1"/>
    </w:pPr>
    <w:rPr>
      <w:rFonts w:ascii="Futura-Oblique" w:hAnsi="Futura-Oblique"/>
      <w:i/>
      <w:iCs/>
      <w:color w:val="A1925D"/>
      <w:sz w:val="20"/>
      <w:szCs w:val="14"/>
      <w:lang/>
    </w:rPr>
  </w:style>
  <w:style w:type="paragraph" w:styleId="Ttulo3">
    <w:name w:val="heading 3"/>
    <w:basedOn w:val="Normal"/>
    <w:next w:val="Normal"/>
    <w:link w:val="Ttulo3Car"/>
    <w:uiPriority w:val="9"/>
    <w:unhideWhenUsed/>
    <w:qFormat/>
    <w:rsid w:val="00F31C4F"/>
    <w:pPr>
      <w:keepNext/>
      <w:spacing w:before="240" w:after="60"/>
      <w:outlineLvl w:val="2"/>
    </w:pPr>
    <w:rPr>
      <w:rFonts w:ascii="Cambria" w:hAnsi="Cambria"/>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16389A"/>
    <w:pPr>
      <w:tabs>
        <w:tab w:val="center" w:pos="4252"/>
        <w:tab w:val="right" w:pos="8504"/>
      </w:tabs>
    </w:pPr>
  </w:style>
  <w:style w:type="paragraph" w:styleId="Piedepgina">
    <w:name w:val="footer"/>
    <w:aliases w:val=" Car1"/>
    <w:basedOn w:val="Normal"/>
    <w:link w:val="PiedepginaCar"/>
    <w:uiPriority w:val="99"/>
    <w:rsid w:val="0016389A"/>
    <w:pPr>
      <w:tabs>
        <w:tab w:val="center" w:pos="4252"/>
        <w:tab w:val="right" w:pos="8504"/>
      </w:tabs>
    </w:pPr>
  </w:style>
  <w:style w:type="character" w:customStyle="1" w:styleId="Ttulo1Car">
    <w:name w:val="Título 1 Car"/>
    <w:link w:val="Ttulo1"/>
    <w:rsid w:val="00647829"/>
    <w:rPr>
      <w:b/>
      <w:bCs/>
      <w:sz w:val="24"/>
      <w:szCs w:val="24"/>
    </w:rPr>
  </w:style>
  <w:style w:type="character" w:customStyle="1" w:styleId="Ttulo2Car">
    <w:name w:val="Título 2 Car"/>
    <w:link w:val="Ttulo2"/>
    <w:rsid w:val="00647829"/>
    <w:rPr>
      <w:rFonts w:ascii="Futura-Oblique" w:hAnsi="Futura-Oblique"/>
      <w:i/>
      <w:iCs/>
      <w:color w:val="A1925D"/>
      <w:szCs w:val="14"/>
    </w:rPr>
  </w:style>
  <w:style w:type="paragraph" w:styleId="Ttulo">
    <w:name w:val="Title"/>
    <w:basedOn w:val="Normal"/>
    <w:link w:val="TtuloCar"/>
    <w:qFormat/>
    <w:rsid w:val="00647829"/>
    <w:pPr>
      <w:jc w:val="center"/>
    </w:pPr>
    <w:rPr>
      <w:b/>
      <w:bCs/>
      <w:sz w:val="36"/>
      <w:lang/>
    </w:rPr>
  </w:style>
  <w:style w:type="character" w:customStyle="1" w:styleId="TtuloCar">
    <w:name w:val="Título Car"/>
    <w:link w:val="Ttulo"/>
    <w:rsid w:val="00647829"/>
    <w:rPr>
      <w:b/>
      <w:bCs/>
      <w:sz w:val="36"/>
      <w:szCs w:val="24"/>
    </w:rPr>
  </w:style>
  <w:style w:type="paragraph" w:styleId="NormalWeb">
    <w:name w:val="Normal (Web)"/>
    <w:basedOn w:val="Normal"/>
    <w:uiPriority w:val="99"/>
    <w:rsid w:val="00647829"/>
    <w:pPr>
      <w:spacing w:before="100" w:beforeAutospacing="1" w:after="100" w:afterAutospacing="1"/>
    </w:pPr>
    <w:rPr>
      <w:rFonts w:ascii="Arial Unicode MS" w:eastAsia="Arial Unicode MS" w:hAnsi="Arial Unicode MS" w:cs="Arial Unicode MS"/>
      <w:lang w:val="es-ES" w:eastAsia="es-ES"/>
    </w:rPr>
  </w:style>
  <w:style w:type="character" w:customStyle="1" w:styleId="Ttulo3Car">
    <w:name w:val="Título 3 Car"/>
    <w:link w:val="Ttulo3"/>
    <w:uiPriority w:val="9"/>
    <w:rsid w:val="00F31C4F"/>
    <w:rPr>
      <w:rFonts w:ascii="Cambria" w:eastAsia="Times New Roman" w:hAnsi="Cambria" w:cs="Times New Roman"/>
      <w:b/>
      <w:bCs/>
      <w:sz w:val="26"/>
      <w:szCs w:val="26"/>
      <w:lang w:val="es-ES_tradnl" w:eastAsia="es-ES_tradnl"/>
    </w:rPr>
  </w:style>
  <w:style w:type="paragraph" w:styleId="Textoindependiente">
    <w:name w:val="Body Text"/>
    <w:basedOn w:val="Normal"/>
    <w:link w:val="TextoindependienteCar"/>
    <w:semiHidden/>
    <w:rsid w:val="00F31C4F"/>
    <w:pPr>
      <w:jc w:val="both"/>
    </w:pPr>
    <w:rPr>
      <w:lang/>
    </w:rPr>
  </w:style>
  <w:style w:type="character" w:customStyle="1" w:styleId="TextoindependienteCar">
    <w:name w:val="Texto independiente Car"/>
    <w:link w:val="Textoindependiente"/>
    <w:semiHidden/>
    <w:rsid w:val="00F31C4F"/>
    <w:rPr>
      <w:sz w:val="24"/>
      <w:szCs w:val="24"/>
    </w:rPr>
  </w:style>
  <w:style w:type="character" w:styleId="Hipervnculo">
    <w:name w:val="Hyperlink"/>
    <w:rsid w:val="00F31C4F"/>
    <w:rPr>
      <w:color w:val="0000FF"/>
      <w:u w:val="single"/>
    </w:rPr>
  </w:style>
  <w:style w:type="character" w:styleId="Textoennegrita">
    <w:name w:val="Strong"/>
    <w:uiPriority w:val="22"/>
    <w:qFormat/>
    <w:rsid w:val="00F31C4F"/>
    <w:rPr>
      <w:b/>
      <w:bCs/>
    </w:rPr>
  </w:style>
  <w:style w:type="paragraph" w:styleId="Textoindependiente3">
    <w:name w:val="Body Text 3"/>
    <w:basedOn w:val="Normal"/>
    <w:link w:val="Textoindependiente3Car"/>
    <w:semiHidden/>
    <w:rsid w:val="00F31C4F"/>
    <w:pPr>
      <w:spacing w:after="120"/>
    </w:pPr>
    <w:rPr>
      <w:sz w:val="16"/>
      <w:szCs w:val="16"/>
      <w:lang/>
    </w:rPr>
  </w:style>
  <w:style w:type="character" w:customStyle="1" w:styleId="Textoindependiente3Car">
    <w:name w:val="Texto independiente 3 Car"/>
    <w:link w:val="Textoindependiente3"/>
    <w:semiHidden/>
    <w:rsid w:val="00F31C4F"/>
    <w:rPr>
      <w:sz w:val="16"/>
      <w:szCs w:val="16"/>
    </w:rPr>
  </w:style>
  <w:style w:type="character" w:styleId="nfasis">
    <w:name w:val="Emphasis"/>
    <w:qFormat/>
    <w:rsid w:val="00F31C4F"/>
    <w:rPr>
      <w:i/>
      <w:iCs/>
    </w:rPr>
  </w:style>
  <w:style w:type="paragraph" w:styleId="Prrafodelista">
    <w:name w:val="List Paragraph"/>
    <w:basedOn w:val="Normal"/>
    <w:uiPriority w:val="99"/>
    <w:qFormat/>
    <w:rsid w:val="00B419FC"/>
    <w:pPr>
      <w:ind w:left="708"/>
    </w:pPr>
  </w:style>
  <w:style w:type="character" w:styleId="Refdenotaalpie">
    <w:name w:val="footnote reference"/>
    <w:uiPriority w:val="99"/>
    <w:semiHidden/>
    <w:rsid w:val="008449F8"/>
    <w:rPr>
      <w:vertAlign w:val="superscript"/>
    </w:rPr>
  </w:style>
  <w:style w:type="paragraph" w:styleId="Textonotapie">
    <w:name w:val="footnote text"/>
    <w:basedOn w:val="Normal"/>
    <w:link w:val="TextonotapieCar"/>
    <w:uiPriority w:val="99"/>
    <w:semiHidden/>
    <w:rsid w:val="008449F8"/>
    <w:rPr>
      <w:sz w:val="20"/>
      <w:szCs w:val="20"/>
      <w:lang w:val="es-ES" w:eastAsia="es-ES"/>
    </w:rPr>
  </w:style>
  <w:style w:type="character" w:customStyle="1" w:styleId="TextonotapieCar">
    <w:name w:val="Texto nota pie Car"/>
    <w:basedOn w:val="Fuentedeprrafopredeter"/>
    <w:link w:val="Textonotapie"/>
    <w:uiPriority w:val="99"/>
    <w:semiHidden/>
    <w:rsid w:val="008449F8"/>
  </w:style>
  <w:style w:type="paragraph" w:styleId="Sinespaciado">
    <w:name w:val="No Spacing"/>
    <w:link w:val="SinespaciadoCar"/>
    <w:uiPriority w:val="1"/>
    <w:qFormat/>
    <w:rsid w:val="002E290D"/>
    <w:rPr>
      <w:rFonts w:ascii="Calibri" w:hAnsi="Calibri"/>
      <w:sz w:val="22"/>
      <w:szCs w:val="22"/>
      <w:lang w:eastAsia="en-US"/>
    </w:rPr>
  </w:style>
  <w:style w:type="character" w:customStyle="1" w:styleId="SinespaciadoCar">
    <w:name w:val="Sin espaciado Car"/>
    <w:link w:val="Sinespaciado"/>
    <w:uiPriority w:val="1"/>
    <w:rsid w:val="002E290D"/>
    <w:rPr>
      <w:rFonts w:ascii="Calibri" w:hAnsi="Calibri"/>
      <w:sz w:val="22"/>
      <w:szCs w:val="22"/>
      <w:lang w:val="es-ES" w:eastAsia="en-US" w:bidi="ar-SA"/>
    </w:rPr>
  </w:style>
  <w:style w:type="paragraph" w:styleId="Textodeglobo">
    <w:name w:val="Balloon Text"/>
    <w:basedOn w:val="Normal"/>
    <w:link w:val="TextodegloboCar"/>
    <w:uiPriority w:val="99"/>
    <w:semiHidden/>
    <w:unhideWhenUsed/>
    <w:rsid w:val="002E290D"/>
    <w:rPr>
      <w:rFonts w:ascii="Tahoma" w:hAnsi="Tahoma"/>
      <w:sz w:val="16"/>
      <w:szCs w:val="16"/>
    </w:rPr>
  </w:style>
  <w:style w:type="character" w:customStyle="1" w:styleId="TextodegloboCar">
    <w:name w:val="Texto de globo Car"/>
    <w:link w:val="Textodeglobo"/>
    <w:uiPriority w:val="99"/>
    <w:semiHidden/>
    <w:rsid w:val="002E290D"/>
    <w:rPr>
      <w:rFonts w:ascii="Tahoma" w:hAnsi="Tahoma" w:cs="Tahoma"/>
      <w:sz w:val="16"/>
      <w:szCs w:val="16"/>
      <w:lang w:val="es-ES_tradnl" w:eastAsia="es-ES_tradnl"/>
    </w:rPr>
  </w:style>
  <w:style w:type="character" w:customStyle="1" w:styleId="PiedepginaCar">
    <w:name w:val="Pie de página Car"/>
    <w:aliases w:val=" Car1 Car"/>
    <w:link w:val="Piedepgina"/>
    <w:uiPriority w:val="99"/>
    <w:rsid w:val="00BD2EAA"/>
    <w:rPr>
      <w:sz w:val="24"/>
      <w:szCs w:val="24"/>
      <w:lang w:val="es-ES_tradnl" w:eastAsia="es-ES_tradnl"/>
    </w:rPr>
  </w:style>
  <w:style w:type="table" w:styleId="Tablaconcuadrcula">
    <w:name w:val="Table Grid"/>
    <w:basedOn w:val="Tablanormal"/>
    <w:uiPriority w:val="59"/>
    <w:rsid w:val="00BD2EAA"/>
    <w:rPr>
      <w:rFonts w:ascii="Calibri" w:hAnsi="Calibri"/>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loque">
    <w:name w:val="Block Text"/>
    <w:basedOn w:val="Normal"/>
    <w:rsid w:val="00CB64A4"/>
    <w:rPr>
      <w:rFonts w:ascii="Calibri" w:hAnsi="Calibri"/>
      <w:iCs/>
      <w:color w:val="FFFFFF"/>
      <w:lang w:eastAsia="es-ES"/>
    </w:rPr>
  </w:style>
</w:styles>
</file>

<file path=word/webSettings.xml><?xml version="1.0" encoding="utf-8"?>
<w:webSettings xmlns:r="http://schemas.openxmlformats.org/officeDocument/2006/relationships" xmlns:w="http://schemas.openxmlformats.org/wordprocessingml/2006/main">
  <w:divs>
    <w:div w:id="45035946">
      <w:bodyDiv w:val="1"/>
      <w:marLeft w:val="0"/>
      <w:marRight w:val="0"/>
      <w:marTop w:val="0"/>
      <w:marBottom w:val="0"/>
      <w:divBdr>
        <w:top w:val="none" w:sz="0" w:space="0" w:color="auto"/>
        <w:left w:val="none" w:sz="0" w:space="0" w:color="auto"/>
        <w:bottom w:val="none" w:sz="0" w:space="0" w:color="auto"/>
        <w:right w:val="none" w:sz="0" w:space="0" w:color="auto"/>
      </w:divBdr>
    </w:div>
    <w:div w:id="194854103">
      <w:bodyDiv w:val="1"/>
      <w:marLeft w:val="0"/>
      <w:marRight w:val="0"/>
      <w:marTop w:val="0"/>
      <w:marBottom w:val="0"/>
      <w:divBdr>
        <w:top w:val="none" w:sz="0" w:space="0" w:color="auto"/>
        <w:left w:val="none" w:sz="0" w:space="0" w:color="auto"/>
        <w:bottom w:val="none" w:sz="0" w:space="0" w:color="auto"/>
        <w:right w:val="none" w:sz="0" w:space="0" w:color="auto"/>
      </w:divBdr>
    </w:div>
    <w:div w:id="961501049">
      <w:bodyDiv w:val="1"/>
      <w:marLeft w:val="0"/>
      <w:marRight w:val="0"/>
      <w:marTop w:val="0"/>
      <w:marBottom w:val="0"/>
      <w:divBdr>
        <w:top w:val="none" w:sz="0" w:space="0" w:color="auto"/>
        <w:left w:val="none" w:sz="0" w:space="0" w:color="auto"/>
        <w:bottom w:val="none" w:sz="0" w:space="0" w:color="auto"/>
        <w:right w:val="none" w:sz="0" w:space="0" w:color="auto"/>
      </w:divBdr>
    </w:div>
    <w:div w:id="1082337609">
      <w:bodyDiv w:val="1"/>
      <w:marLeft w:val="0"/>
      <w:marRight w:val="0"/>
      <w:marTop w:val="0"/>
      <w:marBottom w:val="0"/>
      <w:divBdr>
        <w:top w:val="none" w:sz="0" w:space="0" w:color="auto"/>
        <w:left w:val="none" w:sz="0" w:space="0" w:color="auto"/>
        <w:bottom w:val="none" w:sz="0" w:space="0" w:color="auto"/>
        <w:right w:val="none" w:sz="0" w:space="0" w:color="auto"/>
      </w:divBdr>
    </w:div>
    <w:div w:id="1133673551">
      <w:bodyDiv w:val="1"/>
      <w:marLeft w:val="0"/>
      <w:marRight w:val="0"/>
      <w:marTop w:val="0"/>
      <w:marBottom w:val="0"/>
      <w:divBdr>
        <w:top w:val="none" w:sz="0" w:space="0" w:color="auto"/>
        <w:left w:val="none" w:sz="0" w:space="0" w:color="auto"/>
        <w:bottom w:val="none" w:sz="0" w:space="0" w:color="auto"/>
        <w:right w:val="none" w:sz="0" w:space="0" w:color="auto"/>
      </w:divBdr>
    </w:div>
    <w:div w:id="1137838097">
      <w:bodyDiv w:val="1"/>
      <w:marLeft w:val="0"/>
      <w:marRight w:val="0"/>
      <w:marTop w:val="0"/>
      <w:marBottom w:val="0"/>
      <w:divBdr>
        <w:top w:val="none" w:sz="0" w:space="0" w:color="auto"/>
        <w:left w:val="none" w:sz="0" w:space="0" w:color="auto"/>
        <w:bottom w:val="none" w:sz="0" w:space="0" w:color="auto"/>
        <w:right w:val="none" w:sz="0" w:space="0" w:color="auto"/>
      </w:divBdr>
    </w:div>
    <w:div w:id="142923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chart" Target="charts/chart1.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Macintosh%20HD:Users:cluacesfrades:Documents:CLF:PROYECTOS%20Y%20SUBVENCIONES:PLAN%20ESTRAT&#201;GICO:Documentos%20diagnosis:Estad&#237;sticas%20de%20&#225;ridos%202011%20incluyendo%20ratio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Untitled:Estad&#237;sticas%20de%20&#225;ridos%202011%20incluyendo%20rati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Untitled:Estad&#237;sticas%20de%20&#225;ridos%202011%20incluyendo%20ratio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Untitled:Estad&#237;sticas%20de%20&#225;ridos%202011%20incluyendo%20ratios.xlsx" TargetMode="External"/></Relationships>
</file>

<file path=word/charts/_rels/chart5.xml.rels><?xml version="1.0" encoding="UTF-8" standalone="yes"?>
<Relationships xmlns="http://schemas.openxmlformats.org/package/2006/relationships"><Relationship Id="rId2" Type="http://schemas.openxmlformats.org/officeDocument/2006/relationships/package" Target="../embeddings/Hoja_de_c_lculo_de_Microsoft_Office_Excel1.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Hoja_de_c_lculo_de_Microsoft_Office_Excel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style val="18"/>
  <c:clrMapOvr bg1="lt1" tx1="dk1" bg2="lt2" tx2="dk2" accent1="accent1" accent2="accent2" accent3="accent3" accent4="accent4" accent5="accent5" accent6="accent6" hlink="hlink" folHlink="folHlink"/>
  <c:chart>
    <c:title>
      <c:tx>
        <c:rich>
          <a:bodyPr/>
          <a:lstStyle/>
          <a:p>
            <a:pPr>
              <a:defRPr/>
            </a:pPr>
            <a:r>
              <a:rPr lang="es-ES"/>
              <a:t>Consumo de áridos para la construcción 1980 - 2013*</a:t>
            </a:r>
          </a:p>
        </c:rich>
      </c:tx>
      <c:layout>
        <c:manualLayout>
          <c:xMode val="edge"/>
          <c:yMode val="edge"/>
          <c:x val="0.27532095525096462"/>
          <c:y val="1.6462891232214026E-2"/>
        </c:manualLayout>
      </c:layout>
    </c:title>
    <c:plotArea>
      <c:layout>
        <c:manualLayout>
          <c:layoutTarget val="inner"/>
          <c:xMode val="edge"/>
          <c:yMode val="edge"/>
          <c:x val="8.5786869233938343E-2"/>
          <c:y val="0.16816290781694801"/>
          <c:w val="0.88364287797358898"/>
          <c:h val="0.70450320598473459"/>
        </c:manualLayout>
      </c:layout>
      <c:lineChart>
        <c:grouping val="standard"/>
        <c:ser>
          <c:idx val="0"/>
          <c:order val="0"/>
          <c:tx>
            <c:strRef>
              <c:f>Gráficos!$B$2</c:f>
              <c:strCache>
                <c:ptCount val="1"/>
                <c:pt idx="0">
                  <c:v>1er trim.</c:v>
                </c:pt>
              </c:strCache>
            </c:strRef>
          </c:tx>
          <c:spPr>
            <a:ln>
              <a:solidFill>
                <a:srgbClr val="000090"/>
              </a:solidFill>
            </a:ln>
            <a:effectLst>
              <a:outerShdw blurRad="50800" dist="38100" dir="2700000" algn="tl" rotWithShape="0">
                <a:prstClr val="black">
                  <a:alpha val="40000"/>
                </a:prstClr>
              </a:outerShdw>
            </a:effectLst>
          </c:spPr>
          <c:marker>
            <c:symbol val="none"/>
          </c:marker>
          <c:dLbls>
            <c:dLbl>
              <c:idx val="5"/>
              <c:dLblPos val="t"/>
              <c:showVal val="1"/>
              <c:extLst>
                <c:ext xmlns:c15="http://schemas.microsoft.com/office/drawing/2012/chart" uri="{CE6537A1-D6FC-4f65-9D91-7224C49458BB}"/>
              </c:extLst>
            </c:dLbl>
            <c:dLbl>
              <c:idx val="26"/>
              <c:dLblPos val="t"/>
              <c:showVal val="1"/>
              <c:extLst>
                <c:ext xmlns:c15="http://schemas.microsoft.com/office/drawing/2012/chart" uri="{CE6537A1-D6FC-4f65-9D91-7224C49458BB}"/>
              </c:extLst>
            </c:dLbl>
            <c:dLbl>
              <c:idx val="32"/>
              <c:dLblPos val="t"/>
              <c:showVal val="1"/>
              <c:extLst>
                <c:ext xmlns:c15="http://schemas.microsoft.com/office/drawing/2012/chart" uri="{CE6537A1-D6FC-4f65-9D91-7224C49458BB}"/>
              </c:extLst>
            </c:dLbl>
            <c:dLbl>
              <c:idx val="33"/>
              <c:dLblPos val="t"/>
              <c:showVal val="1"/>
              <c:extLst>
                <c:ext xmlns:c15="http://schemas.microsoft.com/office/drawing/2012/chart" uri="{CE6537A1-D6FC-4f65-9D91-7224C49458BB}"/>
              </c:extLst>
            </c:dLbl>
            <c:delete val="1"/>
            <c:numFmt formatCode="#,##0" sourceLinked="0"/>
            <c:spPr>
              <a:noFill/>
              <a:ln>
                <a:noFill/>
              </a:ln>
              <a:effectLst/>
            </c:spPr>
            <c:dLblPos val="t"/>
            <c:extLst>
              <c:ext xmlns:c15="http://schemas.microsoft.com/office/drawing/2012/chart" uri="{CE6537A1-D6FC-4f65-9D91-7224C49458BB}">
                <c15:showLeaderLines val="0"/>
              </c:ext>
            </c:extLst>
          </c:dLbls>
          <c:cat>
            <c:strRef>
              <c:f>Gráficos!$A$3:$A$36</c:f>
              <c:strCache>
                <c:ptCount val="34"/>
                <c:pt idx="0">
                  <c:v>1980</c:v>
                </c:pt>
                <c:pt idx="1">
                  <c:v>1981</c:v>
                </c:pt>
                <c:pt idx="2">
                  <c:v>1982</c:v>
                </c:pt>
                <c:pt idx="3">
                  <c:v>1983</c:v>
                </c:pt>
                <c:pt idx="4">
                  <c:v>1984</c:v>
                </c:pt>
                <c:pt idx="5">
                  <c:v>1985</c:v>
                </c:pt>
                <c:pt idx="6">
                  <c:v>1986</c:v>
                </c:pt>
                <c:pt idx="7">
                  <c:v>1987</c:v>
                </c:pt>
                <c:pt idx="8">
                  <c:v>1988</c:v>
                </c:pt>
                <c:pt idx="9">
                  <c:v>1989</c:v>
                </c:pt>
                <c:pt idx="10">
                  <c:v>1990</c:v>
                </c:pt>
                <c:pt idx="11">
                  <c:v>1991</c:v>
                </c:pt>
                <c:pt idx="12">
                  <c:v>1992</c:v>
                </c:pt>
                <c:pt idx="13">
                  <c:v>1993</c:v>
                </c:pt>
                <c:pt idx="14">
                  <c:v>1994</c:v>
                </c:pt>
                <c:pt idx="15">
                  <c:v>1995</c:v>
                </c:pt>
                <c:pt idx="16">
                  <c:v>1996</c:v>
                </c:pt>
                <c:pt idx="17">
                  <c:v>1997</c:v>
                </c:pt>
                <c:pt idx="18">
                  <c:v>1998</c:v>
                </c:pt>
                <c:pt idx="19">
                  <c:v>1999</c:v>
                </c:pt>
                <c:pt idx="20">
                  <c:v>2000</c:v>
                </c:pt>
                <c:pt idx="21">
                  <c:v>2001</c:v>
                </c:pt>
                <c:pt idx="22">
                  <c:v>2002</c:v>
                </c:pt>
                <c:pt idx="23">
                  <c:v>2003</c:v>
                </c:pt>
                <c:pt idx="24">
                  <c:v>2004</c:v>
                </c:pt>
                <c:pt idx="25">
                  <c:v>2005</c:v>
                </c:pt>
                <c:pt idx="26">
                  <c:v>2006</c:v>
                </c:pt>
                <c:pt idx="27">
                  <c:v>2007</c:v>
                </c:pt>
                <c:pt idx="28">
                  <c:v>2008</c:v>
                </c:pt>
                <c:pt idx="29">
                  <c:v>2009</c:v>
                </c:pt>
                <c:pt idx="30">
                  <c:v>2010</c:v>
                </c:pt>
                <c:pt idx="31">
                  <c:v>2011</c:v>
                </c:pt>
                <c:pt idx="32">
                  <c:v>2012</c:v>
                </c:pt>
                <c:pt idx="33">
                  <c:v>2013*</c:v>
                </c:pt>
              </c:strCache>
            </c:strRef>
          </c:cat>
          <c:val>
            <c:numRef>
              <c:f>Gráficos!$B$3:$B$36</c:f>
              <c:numCache>
                <c:formatCode>General</c:formatCode>
                <c:ptCount val="34"/>
                <c:pt idx="0">
                  <c:v>180</c:v>
                </c:pt>
                <c:pt idx="1">
                  <c:v>170</c:v>
                </c:pt>
                <c:pt idx="2">
                  <c:v>160</c:v>
                </c:pt>
                <c:pt idx="3">
                  <c:v>155</c:v>
                </c:pt>
                <c:pt idx="4">
                  <c:v>150</c:v>
                </c:pt>
                <c:pt idx="5">
                  <c:v>150</c:v>
                </c:pt>
                <c:pt idx="6">
                  <c:v>165</c:v>
                </c:pt>
                <c:pt idx="7">
                  <c:v>180</c:v>
                </c:pt>
                <c:pt idx="8">
                  <c:v>200</c:v>
                </c:pt>
                <c:pt idx="9">
                  <c:v>240</c:v>
                </c:pt>
                <c:pt idx="10">
                  <c:v>263.5</c:v>
                </c:pt>
                <c:pt idx="11">
                  <c:v>254.1</c:v>
                </c:pt>
                <c:pt idx="12">
                  <c:v>233.8</c:v>
                </c:pt>
                <c:pt idx="13">
                  <c:v>205.7</c:v>
                </c:pt>
                <c:pt idx="14">
                  <c:v>215.3</c:v>
                </c:pt>
                <c:pt idx="15">
                  <c:v>229.3</c:v>
                </c:pt>
                <c:pt idx="16">
                  <c:v>228.7</c:v>
                </c:pt>
                <c:pt idx="17">
                  <c:v>248.2</c:v>
                </c:pt>
                <c:pt idx="18">
                  <c:v>282</c:v>
                </c:pt>
                <c:pt idx="19">
                  <c:v>319.60000000000002</c:v>
                </c:pt>
                <c:pt idx="20">
                  <c:v>356</c:v>
                </c:pt>
                <c:pt idx="21">
                  <c:v>377</c:v>
                </c:pt>
                <c:pt idx="22">
                  <c:v>399.6</c:v>
                </c:pt>
                <c:pt idx="23">
                  <c:v>419.9</c:v>
                </c:pt>
                <c:pt idx="24">
                  <c:v>437.7</c:v>
                </c:pt>
                <c:pt idx="25">
                  <c:v>460.3</c:v>
                </c:pt>
                <c:pt idx="26">
                  <c:v>485.5</c:v>
                </c:pt>
                <c:pt idx="27">
                  <c:v>479</c:v>
                </c:pt>
                <c:pt idx="28">
                  <c:v>332.2</c:v>
                </c:pt>
                <c:pt idx="29">
                  <c:v>243.1</c:v>
                </c:pt>
                <c:pt idx="30">
                  <c:v>207.6</c:v>
                </c:pt>
                <c:pt idx="31">
                  <c:v>172.97890000000001</c:v>
                </c:pt>
                <c:pt idx="32">
                  <c:v>112.5</c:v>
                </c:pt>
                <c:pt idx="33">
                  <c:v>84.374999999999986</c:v>
                </c:pt>
              </c:numCache>
            </c:numRef>
          </c:val>
        </c:ser>
        <c:marker val="1"/>
        <c:axId val="97027968"/>
        <c:axId val="97029504"/>
      </c:lineChart>
      <c:catAx>
        <c:axId val="97027968"/>
        <c:scaling>
          <c:orientation val="minMax"/>
        </c:scaling>
        <c:axPos val="b"/>
        <c:majorGridlines/>
        <c:numFmt formatCode="General" sourceLinked="1"/>
        <c:tickLblPos val="nextTo"/>
        <c:txPr>
          <a:bodyPr/>
          <a:lstStyle/>
          <a:p>
            <a:pPr>
              <a:defRPr sz="700"/>
            </a:pPr>
            <a:endParaRPr lang="es-ES"/>
          </a:p>
        </c:txPr>
        <c:crossAx val="97029504"/>
        <c:crosses val="autoZero"/>
        <c:auto val="1"/>
        <c:lblAlgn val="ctr"/>
        <c:lblOffset val="100"/>
      </c:catAx>
      <c:valAx>
        <c:axId val="97029504"/>
        <c:scaling>
          <c:orientation val="minMax"/>
          <c:max val="500"/>
        </c:scaling>
        <c:axPos val="l"/>
        <c:majorGridlines/>
        <c:title>
          <c:tx>
            <c:rich>
              <a:bodyPr rot="-5400000" vert="horz"/>
              <a:lstStyle/>
              <a:p>
                <a:pPr algn="ctr" rtl="0">
                  <a:defRPr/>
                </a:pPr>
                <a:r>
                  <a:rPr lang="es-ES"/>
                  <a:t>Millones de toneladas</a:t>
                </a:r>
              </a:p>
              <a:p>
                <a:pPr algn="ctr" rtl="0">
                  <a:defRPr/>
                </a:pPr>
                <a:endParaRPr lang="es-ES"/>
              </a:p>
            </c:rich>
          </c:tx>
        </c:title>
        <c:numFmt formatCode="General" sourceLinked="1"/>
        <c:tickLblPos val="nextTo"/>
        <c:crossAx val="97027968"/>
        <c:crosses val="autoZero"/>
        <c:crossBetween val="between"/>
      </c:valAx>
      <c:spPr>
        <a:noFill/>
      </c:spPr>
    </c:plotArea>
    <c:plotVisOnly val="1"/>
    <c:dispBlanksAs val="gap"/>
  </c:chart>
  <c:spPr>
    <a:noFill/>
  </c:spPr>
  <c:txPr>
    <a:bodyPr/>
    <a:lstStyle/>
    <a:p>
      <a:pPr>
        <a:defRPr sz="800">
          <a:latin typeface="Calibri"/>
          <a:cs typeface="Calibri"/>
        </a:defRPr>
      </a:pPr>
      <a:endParaRPr lang="es-ES"/>
    </a:p>
  </c:txPr>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a:pPr>
            <a:r>
              <a:rPr lang="es-ES_tradnl"/>
              <a:t>Variación del consumo de áridos para la construcción por Comunidades Autónomas  </a:t>
            </a:r>
          </a:p>
          <a:p>
            <a:pPr>
              <a:defRPr/>
            </a:pPr>
            <a:r>
              <a:rPr lang="es-ES_tradnl"/>
              <a:t>2012/2011</a:t>
            </a:r>
          </a:p>
        </c:rich>
      </c:tx>
      <c:layout>
        <c:manualLayout>
          <c:xMode val="edge"/>
          <c:yMode val="edge"/>
          <c:x val="0.11617671556922807"/>
          <c:y val="3.6554717843271606E-2"/>
        </c:manualLayout>
      </c:layout>
    </c:title>
    <c:plotArea>
      <c:layout>
        <c:manualLayout>
          <c:layoutTarget val="inner"/>
          <c:xMode val="edge"/>
          <c:yMode val="edge"/>
          <c:x val="0.10341261633919301"/>
          <c:y val="0.23176014924111199"/>
          <c:w val="0.79524301964841482"/>
          <c:h val="0.62690585541098398"/>
        </c:manualLayout>
      </c:layout>
      <c:barChart>
        <c:barDir val="col"/>
        <c:grouping val="clustered"/>
        <c:ser>
          <c:idx val="0"/>
          <c:order val="0"/>
          <c:tx>
            <c:strRef>
              <c:f>Gráficos!$B$39</c:f>
              <c:strCache>
                <c:ptCount val="1"/>
                <c:pt idx="0">
                  <c:v>Variación 2012 / 2011</c:v>
                </c:pt>
              </c:strCache>
            </c:strRef>
          </c:tx>
          <c:spPr>
            <a:solidFill>
              <a:srgbClr val="FF6600"/>
            </a:solidFill>
            <a:effectLst>
              <a:outerShdw blurRad="50800" dist="38100" dir="2700000" algn="tl" rotWithShape="0">
                <a:prstClr val="black">
                  <a:alpha val="40000"/>
                </a:prstClr>
              </a:outerShdw>
            </a:effectLst>
          </c:spPr>
          <c:dLbls>
            <c:numFmt formatCode="0.0%" sourceLinked="0"/>
            <c:spPr>
              <a:noFill/>
              <a:ln>
                <a:noFill/>
              </a:ln>
              <a:effectLst/>
            </c:spPr>
            <c:showVal val="1"/>
            <c:extLst>
              <c:ext xmlns:c15="http://schemas.microsoft.com/office/drawing/2012/chart" uri="{CE6537A1-D6FC-4f65-9D91-7224C49458BB}">
                <c15:showLeaderLines val="0"/>
              </c:ext>
            </c:extLst>
          </c:dLbls>
          <c:cat>
            <c:strRef>
              <c:f>Gráficos!$A$40:$A$56</c:f>
              <c:strCache>
                <c:ptCount val="17"/>
                <c:pt idx="0">
                  <c:v>ANDALUCÍA </c:v>
                </c:pt>
                <c:pt idx="1">
                  <c:v>ARAGÓN </c:v>
                </c:pt>
                <c:pt idx="2">
                  <c:v>ASTURIAS </c:v>
                </c:pt>
                <c:pt idx="3">
                  <c:v>BALEARES </c:v>
                </c:pt>
                <c:pt idx="4">
                  <c:v>CANARIAS </c:v>
                </c:pt>
                <c:pt idx="5">
                  <c:v>CANTABRIA </c:v>
                </c:pt>
                <c:pt idx="6">
                  <c:v>CASTILLA Y LEÓN </c:v>
                </c:pt>
                <c:pt idx="7">
                  <c:v>CASTILLA - LA MANCHA </c:v>
                </c:pt>
                <c:pt idx="8">
                  <c:v>CATALUÑA </c:v>
                </c:pt>
                <c:pt idx="9">
                  <c:v>C. VALENCIANA </c:v>
                </c:pt>
                <c:pt idx="10">
                  <c:v>EXTREMADURA </c:v>
                </c:pt>
                <c:pt idx="11">
                  <c:v>GALICIA </c:v>
                </c:pt>
                <c:pt idx="12">
                  <c:v>MADRID </c:v>
                </c:pt>
                <c:pt idx="13">
                  <c:v>MURCIA </c:v>
                </c:pt>
                <c:pt idx="14">
                  <c:v>NAVARRA </c:v>
                </c:pt>
                <c:pt idx="15">
                  <c:v>PAÍS VASCO </c:v>
                </c:pt>
                <c:pt idx="16">
                  <c:v>LA RIOJA </c:v>
                </c:pt>
              </c:strCache>
            </c:strRef>
          </c:cat>
          <c:val>
            <c:numRef>
              <c:f>Gráficos!$B$40:$B$56</c:f>
              <c:numCache>
                <c:formatCode>0%</c:formatCode>
                <c:ptCount val="17"/>
                <c:pt idx="0">
                  <c:v>-0.37843687843687834</c:v>
                </c:pt>
                <c:pt idx="1">
                  <c:v>-0.37127549067847598</c:v>
                </c:pt>
                <c:pt idx="2">
                  <c:v>-0.27356484762579708</c:v>
                </c:pt>
                <c:pt idx="3">
                  <c:v>-0.20917358639778597</c:v>
                </c:pt>
                <c:pt idx="4">
                  <c:v>-0.40218511647083099</c:v>
                </c:pt>
                <c:pt idx="5">
                  <c:v>-0.26322043969102799</c:v>
                </c:pt>
                <c:pt idx="6">
                  <c:v>-0.32364449413079927</c:v>
                </c:pt>
                <c:pt idx="7">
                  <c:v>-0.42581146350525262</c:v>
                </c:pt>
                <c:pt idx="8">
                  <c:v>-0.25157662791581242</c:v>
                </c:pt>
                <c:pt idx="9">
                  <c:v>-0.58172458172458197</c:v>
                </c:pt>
                <c:pt idx="10">
                  <c:v>-0.3951612903225814</c:v>
                </c:pt>
                <c:pt idx="11">
                  <c:v>-0.32561091716915364</c:v>
                </c:pt>
                <c:pt idx="12">
                  <c:v>-0.38271604938271642</c:v>
                </c:pt>
                <c:pt idx="13">
                  <c:v>-0.27087936367653598</c:v>
                </c:pt>
                <c:pt idx="14">
                  <c:v>-0.27523727351164801</c:v>
                </c:pt>
                <c:pt idx="15">
                  <c:v>-0.19280865896165783</c:v>
                </c:pt>
                <c:pt idx="16">
                  <c:v>-0.23245614035087714</c:v>
                </c:pt>
              </c:numCache>
            </c:numRef>
          </c:val>
        </c:ser>
        <c:axId val="100369536"/>
        <c:axId val="100371072"/>
      </c:barChart>
      <c:lineChart>
        <c:grouping val="standard"/>
        <c:ser>
          <c:idx val="1"/>
          <c:order val="1"/>
          <c:tx>
            <c:strRef>
              <c:f>Gráficos!$C$39</c:f>
              <c:strCache>
                <c:ptCount val="1"/>
                <c:pt idx="0">
                  <c:v>Media Nacional 2012 / 2011</c:v>
                </c:pt>
              </c:strCache>
            </c:strRef>
          </c:tx>
          <c:spPr>
            <a:ln w="57150" cmpd="sng">
              <a:solidFill>
                <a:srgbClr val="000090"/>
              </a:solidFill>
            </a:ln>
          </c:spPr>
          <c:marker>
            <c:symbol val="none"/>
          </c:marker>
          <c:cat>
            <c:strRef>
              <c:f>Gráficos!$A$40:$A$56</c:f>
              <c:strCache>
                <c:ptCount val="17"/>
                <c:pt idx="0">
                  <c:v>ANDALUCÍA </c:v>
                </c:pt>
                <c:pt idx="1">
                  <c:v>ARAGÓN </c:v>
                </c:pt>
                <c:pt idx="2">
                  <c:v>ASTURIAS </c:v>
                </c:pt>
                <c:pt idx="3">
                  <c:v>BALEARES </c:v>
                </c:pt>
                <c:pt idx="4">
                  <c:v>CANARIAS </c:v>
                </c:pt>
                <c:pt idx="5">
                  <c:v>CANTABRIA </c:v>
                </c:pt>
                <c:pt idx="6">
                  <c:v>CASTILLA Y LEÓN </c:v>
                </c:pt>
                <c:pt idx="7">
                  <c:v>CASTILLA - LA MANCHA </c:v>
                </c:pt>
                <c:pt idx="8">
                  <c:v>CATALUÑA </c:v>
                </c:pt>
                <c:pt idx="9">
                  <c:v>C. VALENCIANA </c:v>
                </c:pt>
                <c:pt idx="10">
                  <c:v>EXTREMADURA </c:v>
                </c:pt>
                <c:pt idx="11">
                  <c:v>GALICIA </c:v>
                </c:pt>
                <c:pt idx="12">
                  <c:v>MADRID </c:v>
                </c:pt>
                <c:pt idx="13">
                  <c:v>MURCIA </c:v>
                </c:pt>
                <c:pt idx="14">
                  <c:v>NAVARRA </c:v>
                </c:pt>
                <c:pt idx="15">
                  <c:v>PAÍS VASCO </c:v>
                </c:pt>
                <c:pt idx="16">
                  <c:v>LA RIOJA </c:v>
                </c:pt>
              </c:strCache>
            </c:strRef>
          </c:cat>
          <c:val>
            <c:numRef>
              <c:f>Gráficos!$C$40:$C$56</c:f>
              <c:numCache>
                <c:formatCode>0%</c:formatCode>
                <c:ptCount val="17"/>
                <c:pt idx="0">
                  <c:v>-0.34963166027764142</c:v>
                </c:pt>
                <c:pt idx="1">
                  <c:v>-0.34963166027764142</c:v>
                </c:pt>
                <c:pt idx="2">
                  <c:v>-0.34963166027764142</c:v>
                </c:pt>
                <c:pt idx="3">
                  <c:v>-0.34963166027764142</c:v>
                </c:pt>
                <c:pt idx="4">
                  <c:v>-0.34963166027764142</c:v>
                </c:pt>
                <c:pt idx="5">
                  <c:v>-0.34963166027764142</c:v>
                </c:pt>
                <c:pt idx="6">
                  <c:v>-0.34963166027764142</c:v>
                </c:pt>
                <c:pt idx="7">
                  <c:v>-0.34963166027764142</c:v>
                </c:pt>
                <c:pt idx="8">
                  <c:v>-0.34963166027764142</c:v>
                </c:pt>
                <c:pt idx="9">
                  <c:v>-0.34963166027764142</c:v>
                </c:pt>
                <c:pt idx="10">
                  <c:v>-0.34963166027764142</c:v>
                </c:pt>
                <c:pt idx="11">
                  <c:v>-0.34963166027764142</c:v>
                </c:pt>
                <c:pt idx="12">
                  <c:v>-0.34963166027764142</c:v>
                </c:pt>
                <c:pt idx="13">
                  <c:v>-0.34963166027764142</c:v>
                </c:pt>
                <c:pt idx="14">
                  <c:v>-0.34963166027764142</c:v>
                </c:pt>
                <c:pt idx="15">
                  <c:v>-0.34963166027764142</c:v>
                </c:pt>
                <c:pt idx="16">
                  <c:v>-0.34963166027764142</c:v>
                </c:pt>
              </c:numCache>
            </c:numRef>
          </c:val>
        </c:ser>
        <c:marker val="1"/>
        <c:axId val="100373248"/>
        <c:axId val="100374784"/>
      </c:lineChart>
      <c:catAx>
        <c:axId val="100369536"/>
        <c:scaling>
          <c:orientation val="minMax"/>
        </c:scaling>
        <c:axPos val="b"/>
        <c:numFmt formatCode="General" sourceLinked="1"/>
        <c:majorTickMark val="cross"/>
        <c:tickLblPos val="nextTo"/>
        <c:txPr>
          <a:bodyPr rot="-5400000" vert="horz"/>
          <a:lstStyle/>
          <a:p>
            <a:pPr>
              <a:defRPr/>
            </a:pPr>
            <a:endParaRPr lang="es-ES"/>
          </a:p>
        </c:txPr>
        <c:crossAx val="100371072"/>
        <c:crosses val="autoZero"/>
        <c:lblAlgn val="r"/>
        <c:lblOffset val="100"/>
        <c:tickLblSkip val="1"/>
        <c:tickMarkSkip val="1"/>
      </c:catAx>
      <c:valAx>
        <c:axId val="100371072"/>
        <c:scaling>
          <c:orientation val="minMax"/>
          <c:max val="0"/>
          <c:min val="-0.60000000000000153"/>
        </c:scaling>
        <c:axPos val="l"/>
        <c:majorGridlines/>
        <c:title>
          <c:tx>
            <c:rich>
              <a:bodyPr/>
              <a:lstStyle/>
              <a:p>
                <a:pPr>
                  <a:defRPr/>
                </a:pPr>
                <a:r>
                  <a:rPr lang="es-ES"/>
                  <a:t>%</a:t>
                </a:r>
              </a:p>
            </c:rich>
          </c:tx>
          <c:layout>
            <c:manualLayout>
              <c:xMode val="edge"/>
              <c:yMode val="edge"/>
              <c:x val="1.1375387797311301E-2"/>
              <c:y val="0.48141891891892741"/>
            </c:manualLayout>
          </c:layout>
        </c:title>
        <c:numFmt formatCode="0%" sourceLinked="0"/>
        <c:majorTickMark val="cross"/>
        <c:tickLblPos val="nextTo"/>
        <c:txPr>
          <a:bodyPr rot="0" vert="horz"/>
          <a:lstStyle/>
          <a:p>
            <a:pPr>
              <a:defRPr/>
            </a:pPr>
            <a:endParaRPr lang="es-ES"/>
          </a:p>
        </c:txPr>
        <c:crossAx val="100369536"/>
        <c:crosses val="autoZero"/>
        <c:crossBetween val="between"/>
      </c:valAx>
      <c:catAx>
        <c:axId val="100373248"/>
        <c:scaling>
          <c:orientation val="minMax"/>
        </c:scaling>
        <c:delete val="1"/>
        <c:axPos val="b"/>
        <c:numFmt formatCode="General" sourceLinked="1"/>
        <c:tickLblPos val="none"/>
        <c:crossAx val="100374784"/>
        <c:crosses val="autoZero"/>
        <c:lblAlgn val="ctr"/>
        <c:lblOffset val="100"/>
      </c:catAx>
      <c:valAx>
        <c:axId val="100374784"/>
        <c:scaling>
          <c:orientation val="minMax"/>
          <c:max val="0"/>
          <c:min val="-0.60000000000000053"/>
        </c:scaling>
        <c:axPos val="r"/>
        <c:title>
          <c:tx>
            <c:rich>
              <a:bodyPr/>
              <a:lstStyle/>
              <a:p>
                <a:pPr>
                  <a:defRPr/>
                </a:pPr>
                <a:r>
                  <a:rPr lang="es-ES"/>
                  <a:t>%</a:t>
                </a:r>
              </a:p>
            </c:rich>
          </c:tx>
          <c:layout>
            <c:manualLayout>
              <c:xMode val="edge"/>
              <c:yMode val="edge"/>
              <c:x val="0.950361944157187"/>
              <c:y val="0.48141891891892741"/>
            </c:manualLayout>
          </c:layout>
        </c:title>
        <c:numFmt formatCode="0%" sourceLinked="0"/>
        <c:majorTickMark val="cross"/>
        <c:tickLblPos val="nextTo"/>
        <c:txPr>
          <a:bodyPr rot="0" vert="horz"/>
          <a:lstStyle/>
          <a:p>
            <a:pPr>
              <a:defRPr/>
            </a:pPr>
            <a:endParaRPr lang="es-ES"/>
          </a:p>
        </c:txPr>
        <c:crossAx val="100373248"/>
        <c:crosses val="max"/>
        <c:crossBetween val="between"/>
      </c:valAx>
    </c:plotArea>
    <c:legend>
      <c:legendPos val="b"/>
    </c:legend>
    <c:plotVisOnly val="1"/>
    <c:dispBlanksAs val="gap"/>
  </c:chart>
  <c:txPr>
    <a:bodyPr/>
    <a:lstStyle/>
    <a:p>
      <a:pPr>
        <a:defRPr sz="800">
          <a:latin typeface="+mj-lt"/>
        </a:defRPr>
      </a:pPr>
      <a:endParaRPr lang="es-E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a:pPr>
            <a:r>
              <a:rPr lang="es-ES_tradnl"/>
              <a:t>Variación del consumo de áridos para la construcción por Comunidades Autónomas  </a:t>
            </a:r>
          </a:p>
          <a:p>
            <a:pPr>
              <a:defRPr/>
            </a:pPr>
            <a:r>
              <a:rPr lang="es-ES_tradnl"/>
              <a:t>2012/2006</a:t>
            </a:r>
          </a:p>
        </c:rich>
      </c:tx>
      <c:layout>
        <c:manualLayout>
          <c:xMode val="edge"/>
          <c:yMode val="edge"/>
          <c:x val="0.11617671556922807"/>
          <c:y val="3.6554717843271606E-2"/>
        </c:manualLayout>
      </c:layout>
    </c:title>
    <c:plotArea>
      <c:layout>
        <c:manualLayout>
          <c:layoutTarget val="inner"/>
          <c:xMode val="edge"/>
          <c:yMode val="edge"/>
          <c:x val="0.10341261633919301"/>
          <c:y val="0.23176014924111199"/>
          <c:w val="0.79524301964841482"/>
          <c:h val="0.62690585541098398"/>
        </c:manualLayout>
      </c:layout>
      <c:barChart>
        <c:barDir val="col"/>
        <c:grouping val="clustered"/>
        <c:ser>
          <c:idx val="0"/>
          <c:order val="0"/>
          <c:tx>
            <c:strRef>
              <c:f>Gráficos!$B$64</c:f>
              <c:strCache>
                <c:ptCount val="1"/>
                <c:pt idx="0">
                  <c:v>Variación 2012 / 2006</c:v>
                </c:pt>
              </c:strCache>
            </c:strRef>
          </c:tx>
          <c:spPr>
            <a:solidFill>
              <a:srgbClr val="FF6600"/>
            </a:solidFill>
            <a:effectLst>
              <a:outerShdw blurRad="50800" dist="38100" dir="2700000" algn="tl" rotWithShape="0">
                <a:prstClr val="black">
                  <a:alpha val="40000"/>
                </a:prstClr>
              </a:outerShdw>
            </a:effectLst>
          </c:spPr>
          <c:dLbls>
            <c:numFmt formatCode="0.0%" sourceLinked="0"/>
            <c:spPr>
              <a:noFill/>
              <a:ln>
                <a:noFill/>
              </a:ln>
              <a:effectLst/>
            </c:spPr>
            <c:showVal val="1"/>
            <c:extLst>
              <c:ext xmlns:c15="http://schemas.microsoft.com/office/drawing/2012/chart" uri="{CE6537A1-D6FC-4f65-9D91-7224C49458BB}">
                <c15:showLeaderLines val="0"/>
              </c:ext>
            </c:extLst>
          </c:dLbls>
          <c:cat>
            <c:strRef>
              <c:f>Gráficos!$A$65:$A$81</c:f>
              <c:strCache>
                <c:ptCount val="17"/>
                <c:pt idx="0">
                  <c:v>ANDALUCÍA </c:v>
                </c:pt>
                <c:pt idx="1">
                  <c:v>ARAGÓN </c:v>
                </c:pt>
                <c:pt idx="2">
                  <c:v>ASTURIAS </c:v>
                </c:pt>
                <c:pt idx="3">
                  <c:v>BALEARES </c:v>
                </c:pt>
                <c:pt idx="4">
                  <c:v>CANARIAS </c:v>
                </c:pt>
                <c:pt idx="5">
                  <c:v>CANTABRIA </c:v>
                </c:pt>
                <c:pt idx="6">
                  <c:v>CASTILLA Y LEÓN </c:v>
                </c:pt>
                <c:pt idx="7">
                  <c:v>CASTILLA - LA MANCHA </c:v>
                </c:pt>
                <c:pt idx="8">
                  <c:v>CATALUÑA </c:v>
                </c:pt>
                <c:pt idx="9">
                  <c:v>C. VALENCIANA </c:v>
                </c:pt>
                <c:pt idx="10">
                  <c:v>EXTREMADURA </c:v>
                </c:pt>
                <c:pt idx="11">
                  <c:v>GALICIA </c:v>
                </c:pt>
                <c:pt idx="12">
                  <c:v>MADRID </c:v>
                </c:pt>
                <c:pt idx="13">
                  <c:v>MURCIA </c:v>
                </c:pt>
                <c:pt idx="14">
                  <c:v>NAVARRA </c:v>
                </c:pt>
                <c:pt idx="15">
                  <c:v>PAÍS VASCO </c:v>
                </c:pt>
                <c:pt idx="16">
                  <c:v>LA RIOJA </c:v>
                </c:pt>
              </c:strCache>
            </c:strRef>
          </c:cat>
          <c:val>
            <c:numRef>
              <c:f>Gráficos!$B$65:$B$81</c:f>
              <c:numCache>
                <c:formatCode>0.00%</c:formatCode>
                <c:ptCount val="17"/>
                <c:pt idx="0">
                  <c:v>-0.81298129812981368</c:v>
                </c:pt>
                <c:pt idx="1">
                  <c:v>-0.72289156626506068</c:v>
                </c:pt>
                <c:pt idx="2">
                  <c:v>-0.62727272727272698</c:v>
                </c:pt>
                <c:pt idx="3">
                  <c:v>-0.77142857142857224</c:v>
                </c:pt>
                <c:pt idx="4">
                  <c:v>-0.85128205128205059</c:v>
                </c:pt>
                <c:pt idx="5">
                  <c:v>-0.59210526315789502</c:v>
                </c:pt>
                <c:pt idx="6">
                  <c:v>-0.65625000000000056</c:v>
                </c:pt>
                <c:pt idx="7">
                  <c:v>-0.77557755775577553</c:v>
                </c:pt>
                <c:pt idx="8">
                  <c:v>-0.69969512195121897</c:v>
                </c:pt>
                <c:pt idx="9">
                  <c:v>-0.891485809682805</c:v>
                </c:pt>
                <c:pt idx="10">
                  <c:v>-0.66417910447761253</c:v>
                </c:pt>
                <c:pt idx="11">
                  <c:v>-0.65725806451612956</c:v>
                </c:pt>
                <c:pt idx="12">
                  <c:v>-0.86193293885601596</c:v>
                </c:pt>
                <c:pt idx="13">
                  <c:v>-0.83417085427135695</c:v>
                </c:pt>
                <c:pt idx="14">
                  <c:v>-0.51724137931034497</c:v>
                </c:pt>
                <c:pt idx="15">
                  <c:v>-0.73964497041420185</c:v>
                </c:pt>
                <c:pt idx="16">
                  <c:v>-0.6500000000000008</c:v>
                </c:pt>
              </c:numCache>
            </c:numRef>
          </c:val>
        </c:ser>
        <c:axId val="167719680"/>
        <c:axId val="167721216"/>
      </c:barChart>
      <c:lineChart>
        <c:grouping val="standard"/>
        <c:ser>
          <c:idx val="1"/>
          <c:order val="1"/>
          <c:tx>
            <c:strRef>
              <c:f>Gráficos!$C$64</c:f>
              <c:strCache>
                <c:ptCount val="1"/>
                <c:pt idx="0">
                  <c:v>Variación 2012 / 2006</c:v>
                </c:pt>
              </c:strCache>
            </c:strRef>
          </c:tx>
          <c:spPr>
            <a:ln w="57150" cmpd="sng">
              <a:solidFill>
                <a:srgbClr val="000090"/>
              </a:solidFill>
            </a:ln>
          </c:spPr>
          <c:marker>
            <c:symbol val="none"/>
          </c:marker>
          <c:cat>
            <c:strRef>
              <c:f>Gráficos!$A$65:$A$81</c:f>
              <c:strCache>
                <c:ptCount val="17"/>
                <c:pt idx="0">
                  <c:v>ANDALUCÍA </c:v>
                </c:pt>
                <c:pt idx="1">
                  <c:v>ARAGÓN </c:v>
                </c:pt>
                <c:pt idx="2">
                  <c:v>ASTURIAS </c:v>
                </c:pt>
                <c:pt idx="3">
                  <c:v>BALEARES </c:v>
                </c:pt>
                <c:pt idx="4">
                  <c:v>CANARIAS </c:v>
                </c:pt>
                <c:pt idx="5">
                  <c:v>CANTABRIA </c:v>
                </c:pt>
                <c:pt idx="6">
                  <c:v>CASTILLA Y LEÓN </c:v>
                </c:pt>
                <c:pt idx="7">
                  <c:v>CASTILLA - LA MANCHA </c:v>
                </c:pt>
                <c:pt idx="8">
                  <c:v>CATALUÑA </c:v>
                </c:pt>
                <c:pt idx="9">
                  <c:v>C. VALENCIANA </c:v>
                </c:pt>
                <c:pt idx="10">
                  <c:v>EXTREMADURA </c:v>
                </c:pt>
                <c:pt idx="11">
                  <c:v>GALICIA </c:v>
                </c:pt>
                <c:pt idx="12">
                  <c:v>MADRID </c:v>
                </c:pt>
                <c:pt idx="13">
                  <c:v>MURCIA </c:v>
                </c:pt>
                <c:pt idx="14">
                  <c:v>NAVARRA </c:v>
                </c:pt>
                <c:pt idx="15">
                  <c:v>PAÍS VASCO </c:v>
                </c:pt>
                <c:pt idx="16">
                  <c:v>LA RIOJA </c:v>
                </c:pt>
              </c:strCache>
            </c:strRef>
          </c:cat>
          <c:val>
            <c:numRef>
              <c:f>Gráficos!$C$65:$C$81</c:f>
              <c:numCache>
                <c:formatCode>0.00%</c:formatCode>
                <c:ptCount val="17"/>
                <c:pt idx="0">
                  <c:v>-0.76828012358393405</c:v>
                </c:pt>
                <c:pt idx="1">
                  <c:v>-0.76828012358393405</c:v>
                </c:pt>
                <c:pt idx="2">
                  <c:v>-0.76828012358393405</c:v>
                </c:pt>
                <c:pt idx="3">
                  <c:v>-0.76828012358393405</c:v>
                </c:pt>
                <c:pt idx="4">
                  <c:v>-0.76828012358393405</c:v>
                </c:pt>
                <c:pt idx="5">
                  <c:v>-0.76828012358393405</c:v>
                </c:pt>
                <c:pt idx="6">
                  <c:v>-0.76828012358393405</c:v>
                </c:pt>
                <c:pt idx="7">
                  <c:v>-0.76828012358393405</c:v>
                </c:pt>
                <c:pt idx="8">
                  <c:v>-0.76828012358393405</c:v>
                </c:pt>
                <c:pt idx="9">
                  <c:v>-0.76828012358393405</c:v>
                </c:pt>
                <c:pt idx="10">
                  <c:v>-0.76828012358393405</c:v>
                </c:pt>
                <c:pt idx="11">
                  <c:v>-0.76828012358393405</c:v>
                </c:pt>
                <c:pt idx="12">
                  <c:v>-0.76828012358393405</c:v>
                </c:pt>
                <c:pt idx="13">
                  <c:v>-0.76828012358393405</c:v>
                </c:pt>
                <c:pt idx="14">
                  <c:v>-0.76828012358393405</c:v>
                </c:pt>
                <c:pt idx="15">
                  <c:v>-0.76828012358393405</c:v>
                </c:pt>
                <c:pt idx="16">
                  <c:v>-0.76828012358393405</c:v>
                </c:pt>
              </c:numCache>
            </c:numRef>
          </c:val>
        </c:ser>
        <c:marker val="1"/>
        <c:axId val="167735680"/>
        <c:axId val="167737216"/>
      </c:lineChart>
      <c:catAx>
        <c:axId val="167719680"/>
        <c:scaling>
          <c:orientation val="minMax"/>
        </c:scaling>
        <c:axPos val="b"/>
        <c:numFmt formatCode="General" sourceLinked="1"/>
        <c:majorTickMark val="cross"/>
        <c:tickLblPos val="nextTo"/>
        <c:txPr>
          <a:bodyPr rot="-5400000" vert="horz"/>
          <a:lstStyle/>
          <a:p>
            <a:pPr>
              <a:defRPr/>
            </a:pPr>
            <a:endParaRPr lang="es-ES"/>
          </a:p>
        </c:txPr>
        <c:crossAx val="167721216"/>
        <c:crosses val="autoZero"/>
        <c:lblAlgn val="r"/>
        <c:lblOffset val="100"/>
        <c:tickLblSkip val="1"/>
        <c:tickMarkSkip val="1"/>
      </c:catAx>
      <c:valAx>
        <c:axId val="167721216"/>
        <c:scaling>
          <c:orientation val="minMax"/>
          <c:max val="0"/>
          <c:min val="-0.9"/>
        </c:scaling>
        <c:axPos val="l"/>
        <c:majorGridlines/>
        <c:title>
          <c:tx>
            <c:rich>
              <a:bodyPr/>
              <a:lstStyle/>
              <a:p>
                <a:pPr>
                  <a:defRPr/>
                </a:pPr>
                <a:r>
                  <a:rPr lang="es-ES"/>
                  <a:t>%</a:t>
                </a:r>
              </a:p>
            </c:rich>
          </c:tx>
          <c:layout>
            <c:manualLayout>
              <c:xMode val="edge"/>
              <c:yMode val="edge"/>
              <c:x val="1.1375387797311301E-2"/>
              <c:y val="0.48141891891892741"/>
            </c:manualLayout>
          </c:layout>
        </c:title>
        <c:numFmt formatCode="0%" sourceLinked="0"/>
        <c:majorTickMark val="cross"/>
        <c:tickLblPos val="nextTo"/>
        <c:txPr>
          <a:bodyPr rot="0" vert="horz"/>
          <a:lstStyle/>
          <a:p>
            <a:pPr>
              <a:defRPr/>
            </a:pPr>
            <a:endParaRPr lang="es-ES"/>
          </a:p>
        </c:txPr>
        <c:crossAx val="167719680"/>
        <c:crosses val="autoZero"/>
        <c:crossBetween val="between"/>
      </c:valAx>
      <c:catAx>
        <c:axId val="167735680"/>
        <c:scaling>
          <c:orientation val="minMax"/>
        </c:scaling>
        <c:delete val="1"/>
        <c:axPos val="b"/>
        <c:numFmt formatCode="General" sourceLinked="1"/>
        <c:tickLblPos val="none"/>
        <c:crossAx val="167737216"/>
        <c:crosses val="autoZero"/>
        <c:lblAlgn val="ctr"/>
        <c:lblOffset val="100"/>
      </c:catAx>
      <c:valAx>
        <c:axId val="167737216"/>
        <c:scaling>
          <c:orientation val="minMax"/>
          <c:max val="0"/>
          <c:min val="-0.9"/>
        </c:scaling>
        <c:axPos val="r"/>
        <c:title>
          <c:tx>
            <c:rich>
              <a:bodyPr/>
              <a:lstStyle/>
              <a:p>
                <a:pPr>
                  <a:defRPr/>
                </a:pPr>
                <a:r>
                  <a:rPr lang="es-ES"/>
                  <a:t>%</a:t>
                </a:r>
              </a:p>
            </c:rich>
          </c:tx>
          <c:layout>
            <c:manualLayout>
              <c:xMode val="edge"/>
              <c:yMode val="edge"/>
              <c:x val="0.950361944157187"/>
              <c:y val="0.48141891891892741"/>
            </c:manualLayout>
          </c:layout>
        </c:title>
        <c:numFmt formatCode="0%" sourceLinked="0"/>
        <c:majorTickMark val="cross"/>
        <c:tickLblPos val="nextTo"/>
        <c:txPr>
          <a:bodyPr rot="0" vert="horz"/>
          <a:lstStyle/>
          <a:p>
            <a:pPr>
              <a:defRPr/>
            </a:pPr>
            <a:endParaRPr lang="es-ES"/>
          </a:p>
        </c:txPr>
        <c:crossAx val="167735680"/>
        <c:crosses val="max"/>
        <c:crossBetween val="between"/>
      </c:valAx>
    </c:plotArea>
    <c:legend>
      <c:legendPos val="b"/>
    </c:legend>
    <c:plotVisOnly val="1"/>
    <c:dispBlanksAs val="gap"/>
  </c:chart>
  <c:txPr>
    <a:bodyPr/>
    <a:lstStyle/>
    <a:p>
      <a:pPr>
        <a:defRPr sz="800">
          <a:latin typeface="+mj-lt"/>
        </a:defRPr>
      </a:pPr>
      <a:endParaRPr lang="es-E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a:pPr>
            <a:r>
              <a:rPr lang="es-ES_tradnl"/>
              <a:t>Consumo de áridos por habitante por Comunidades Autónomas</a:t>
            </a:r>
          </a:p>
          <a:p>
            <a:pPr>
              <a:defRPr/>
            </a:pPr>
            <a:r>
              <a:rPr lang="es-ES_tradnl"/>
              <a:t>2012</a:t>
            </a:r>
          </a:p>
        </c:rich>
      </c:tx>
    </c:title>
    <c:plotArea>
      <c:layout>
        <c:manualLayout>
          <c:layoutTarget val="inner"/>
          <c:xMode val="edge"/>
          <c:yMode val="edge"/>
          <c:x val="0.10341261633919301"/>
          <c:y val="0.15512051294372883"/>
          <c:w val="0.79524301964841382"/>
          <c:h val="0.46969808263940926"/>
        </c:manualLayout>
      </c:layout>
      <c:barChart>
        <c:barDir val="col"/>
        <c:grouping val="clustered"/>
        <c:ser>
          <c:idx val="0"/>
          <c:order val="0"/>
          <c:tx>
            <c:strRef>
              <c:f>Gráficos!$B$84</c:f>
              <c:strCache>
                <c:ptCount val="1"/>
                <c:pt idx="0">
                  <c:v>Toneladas por habitante y año</c:v>
                </c:pt>
              </c:strCache>
            </c:strRef>
          </c:tx>
          <c:spPr>
            <a:solidFill>
              <a:srgbClr val="FF6600"/>
            </a:solidFill>
            <a:effectLst>
              <a:outerShdw blurRad="50800" dist="38100" dir="2700000" algn="tl" rotWithShape="0">
                <a:prstClr val="black">
                  <a:alpha val="40000"/>
                </a:prstClr>
              </a:outerShdw>
            </a:effectLst>
          </c:spPr>
          <c:dLbls>
            <c:numFmt formatCode="#,##0.0" sourceLinked="0"/>
            <c:spPr>
              <a:noFill/>
              <a:ln>
                <a:noFill/>
              </a:ln>
              <a:effectLst/>
            </c:spPr>
            <c:showVal val="1"/>
            <c:extLst>
              <c:ext xmlns:c15="http://schemas.microsoft.com/office/drawing/2012/chart" uri="{CE6537A1-D6FC-4f65-9D91-7224C49458BB}">
                <c15:showLeaderLines val="0"/>
              </c:ext>
            </c:extLst>
          </c:dLbls>
          <c:cat>
            <c:strRef>
              <c:f>Gráficos!$A$85:$A$102</c:f>
              <c:strCache>
                <c:ptCount val="18"/>
                <c:pt idx="0">
                  <c:v>ANDALUCÍA </c:v>
                </c:pt>
                <c:pt idx="1">
                  <c:v>ARAGÓN </c:v>
                </c:pt>
                <c:pt idx="2">
                  <c:v>ASTURIAS </c:v>
                </c:pt>
                <c:pt idx="3">
                  <c:v>BALEARES </c:v>
                </c:pt>
                <c:pt idx="4">
                  <c:v>CANARIAS </c:v>
                </c:pt>
                <c:pt idx="5">
                  <c:v>CANTABRIA </c:v>
                </c:pt>
                <c:pt idx="6">
                  <c:v>CASTILLA Y LEÓN </c:v>
                </c:pt>
                <c:pt idx="7">
                  <c:v>CASTILLA - LA MANCHA </c:v>
                </c:pt>
                <c:pt idx="8">
                  <c:v>CATALUÑA </c:v>
                </c:pt>
                <c:pt idx="9">
                  <c:v>C. VALENCIANA </c:v>
                </c:pt>
                <c:pt idx="10">
                  <c:v>EXTREMADURA </c:v>
                </c:pt>
                <c:pt idx="11">
                  <c:v>GALICIA </c:v>
                </c:pt>
                <c:pt idx="12">
                  <c:v>MADRID </c:v>
                </c:pt>
                <c:pt idx="13">
                  <c:v>MURCIA </c:v>
                </c:pt>
                <c:pt idx="14">
                  <c:v>NAVARRA </c:v>
                </c:pt>
                <c:pt idx="15">
                  <c:v>PAÍS VASCO </c:v>
                </c:pt>
                <c:pt idx="16">
                  <c:v>LA RIOJA </c:v>
                </c:pt>
                <c:pt idx="17">
                  <c:v>TOTAL </c:v>
                </c:pt>
              </c:strCache>
            </c:strRef>
          </c:cat>
          <c:val>
            <c:numRef>
              <c:f>Gráficos!$B$85:$B$102</c:f>
              <c:numCache>
                <c:formatCode>General</c:formatCode>
                <c:ptCount val="18"/>
                <c:pt idx="0">
                  <c:v>1.9803133554662484</c:v>
                </c:pt>
                <c:pt idx="1">
                  <c:v>3.4175334323922741</c:v>
                </c:pt>
                <c:pt idx="2">
                  <c:v>3.7927844588344155</c:v>
                </c:pt>
                <c:pt idx="3">
                  <c:v>2.1563342318059329</c:v>
                </c:pt>
                <c:pt idx="4">
                  <c:v>1.3634226610249178</c:v>
                </c:pt>
                <c:pt idx="5">
                  <c:v>5.2276559865092747</c:v>
                </c:pt>
                <c:pt idx="6">
                  <c:v>4.7302580140734998</c:v>
                </c:pt>
                <c:pt idx="7">
                  <c:v>3.2151300236406621</c:v>
                </c:pt>
                <c:pt idx="8">
                  <c:v>2.6130786576469043</c:v>
                </c:pt>
                <c:pt idx="9">
                  <c:v>1.2702755520812981</c:v>
                </c:pt>
                <c:pt idx="10">
                  <c:v>4.0577096483318309</c:v>
                </c:pt>
                <c:pt idx="11">
                  <c:v>3.0411449016100192</c:v>
                </c:pt>
                <c:pt idx="12">
                  <c:v>1.0785824345146391</c:v>
                </c:pt>
                <c:pt idx="13">
                  <c:v>2.2448979591836742</c:v>
                </c:pt>
                <c:pt idx="14">
                  <c:v>6.5420560747663545</c:v>
                </c:pt>
                <c:pt idx="15">
                  <c:v>2.013729977116705</c:v>
                </c:pt>
                <c:pt idx="16">
                  <c:v>4.3478260869565206</c:v>
                </c:pt>
                <c:pt idx="17">
                  <c:v>2.3841564854354531</c:v>
                </c:pt>
              </c:numCache>
            </c:numRef>
          </c:val>
        </c:ser>
        <c:axId val="167763968"/>
        <c:axId val="167765504"/>
      </c:barChart>
      <c:lineChart>
        <c:grouping val="standard"/>
        <c:ser>
          <c:idx val="1"/>
          <c:order val="1"/>
          <c:tx>
            <c:strRef>
              <c:f>Gráficos!$C$84</c:f>
              <c:strCache>
                <c:ptCount val="1"/>
                <c:pt idx="0">
                  <c:v>Media nacional</c:v>
                </c:pt>
              </c:strCache>
            </c:strRef>
          </c:tx>
          <c:spPr>
            <a:ln w="57150" cmpd="sng">
              <a:solidFill>
                <a:srgbClr val="000090"/>
              </a:solidFill>
            </a:ln>
          </c:spPr>
          <c:marker>
            <c:symbol val="none"/>
          </c:marker>
          <c:cat>
            <c:strRef>
              <c:f>Gráficos!$A$85:$A$102</c:f>
              <c:strCache>
                <c:ptCount val="18"/>
                <c:pt idx="0">
                  <c:v>ANDALUCÍA </c:v>
                </c:pt>
                <c:pt idx="1">
                  <c:v>ARAGÓN </c:v>
                </c:pt>
                <c:pt idx="2">
                  <c:v>ASTURIAS </c:v>
                </c:pt>
                <c:pt idx="3">
                  <c:v>BALEARES </c:v>
                </c:pt>
                <c:pt idx="4">
                  <c:v>CANARIAS </c:v>
                </c:pt>
                <c:pt idx="5">
                  <c:v>CANTABRIA </c:v>
                </c:pt>
                <c:pt idx="6">
                  <c:v>CASTILLA Y LEÓN </c:v>
                </c:pt>
                <c:pt idx="7">
                  <c:v>CASTILLA - LA MANCHA </c:v>
                </c:pt>
                <c:pt idx="8">
                  <c:v>CATALUÑA </c:v>
                </c:pt>
                <c:pt idx="9">
                  <c:v>C. VALENCIANA </c:v>
                </c:pt>
                <c:pt idx="10">
                  <c:v>EXTREMADURA </c:v>
                </c:pt>
                <c:pt idx="11">
                  <c:v>GALICIA </c:v>
                </c:pt>
                <c:pt idx="12">
                  <c:v>MADRID </c:v>
                </c:pt>
                <c:pt idx="13">
                  <c:v>MURCIA </c:v>
                </c:pt>
                <c:pt idx="14">
                  <c:v>NAVARRA </c:v>
                </c:pt>
                <c:pt idx="15">
                  <c:v>PAÍS VASCO </c:v>
                </c:pt>
                <c:pt idx="16">
                  <c:v>LA RIOJA </c:v>
                </c:pt>
                <c:pt idx="17">
                  <c:v>TOTAL </c:v>
                </c:pt>
              </c:strCache>
            </c:strRef>
          </c:cat>
          <c:val>
            <c:numRef>
              <c:f>Gráficos!$C$85:$C$102</c:f>
              <c:numCache>
                <c:formatCode>General</c:formatCode>
                <c:ptCount val="18"/>
                <c:pt idx="0">
                  <c:v>2.3841564854354531</c:v>
                </c:pt>
                <c:pt idx="1">
                  <c:v>2.3841564854354531</c:v>
                </c:pt>
                <c:pt idx="2">
                  <c:v>2.3841564854354531</c:v>
                </c:pt>
                <c:pt idx="3">
                  <c:v>2.3841564854354531</c:v>
                </c:pt>
                <c:pt idx="4">
                  <c:v>2.3841564854354531</c:v>
                </c:pt>
                <c:pt idx="5">
                  <c:v>2.3841564854354531</c:v>
                </c:pt>
                <c:pt idx="6">
                  <c:v>2.3841564854354531</c:v>
                </c:pt>
                <c:pt idx="7">
                  <c:v>2.3841564854354531</c:v>
                </c:pt>
                <c:pt idx="8">
                  <c:v>2.3841564854354531</c:v>
                </c:pt>
                <c:pt idx="9">
                  <c:v>2.3841564854354531</c:v>
                </c:pt>
                <c:pt idx="10">
                  <c:v>2.3841564854354531</c:v>
                </c:pt>
                <c:pt idx="11">
                  <c:v>2.3841564854354531</c:v>
                </c:pt>
                <c:pt idx="12">
                  <c:v>2.3841564854354531</c:v>
                </c:pt>
                <c:pt idx="13">
                  <c:v>2.3841564854354531</c:v>
                </c:pt>
                <c:pt idx="14">
                  <c:v>2.3841564854354531</c:v>
                </c:pt>
                <c:pt idx="15">
                  <c:v>2.3841564854354531</c:v>
                </c:pt>
                <c:pt idx="16">
                  <c:v>2.3841564854354531</c:v>
                </c:pt>
                <c:pt idx="17">
                  <c:v>2.3841564854354531</c:v>
                </c:pt>
              </c:numCache>
            </c:numRef>
          </c:val>
        </c:ser>
        <c:marker val="1"/>
        <c:axId val="167767040"/>
        <c:axId val="167838464"/>
      </c:lineChart>
      <c:catAx>
        <c:axId val="167763968"/>
        <c:scaling>
          <c:orientation val="minMax"/>
        </c:scaling>
        <c:axPos val="b"/>
        <c:numFmt formatCode="General" sourceLinked="1"/>
        <c:majorTickMark val="cross"/>
        <c:tickLblPos val="nextTo"/>
        <c:txPr>
          <a:bodyPr rot="-5400000" vert="horz"/>
          <a:lstStyle/>
          <a:p>
            <a:pPr>
              <a:defRPr/>
            </a:pPr>
            <a:endParaRPr lang="es-ES"/>
          </a:p>
        </c:txPr>
        <c:crossAx val="167765504"/>
        <c:crosses val="autoZero"/>
        <c:lblAlgn val="r"/>
        <c:lblOffset val="100"/>
        <c:tickLblSkip val="1"/>
        <c:tickMarkSkip val="1"/>
      </c:catAx>
      <c:valAx>
        <c:axId val="167765504"/>
        <c:scaling>
          <c:orientation val="minMax"/>
          <c:min val="0"/>
        </c:scaling>
        <c:axPos val="l"/>
        <c:majorGridlines/>
        <c:numFmt formatCode="#,##0" sourceLinked="0"/>
        <c:majorTickMark val="cross"/>
        <c:tickLblPos val="nextTo"/>
        <c:txPr>
          <a:bodyPr rot="0" vert="horz"/>
          <a:lstStyle/>
          <a:p>
            <a:pPr>
              <a:defRPr/>
            </a:pPr>
            <a:endParaRPr lang="es-ES"/>
          </a:p>
        </c:txPr>
        <c:crossAx val="167763968"/>
        <c:crosses val="autoZero"/>
        <c:crossBetween val="between"/>
      </c:valAx>
      <c:catAx>
        <c:axId val="167767040"/>
        <c:scaling>
          <c:orientation val="minMax"/>
        </c:scaling>
        <c:delete val="1"/>
        <c:axPos val="b"/>
        <c:numFmt formatCode="General" sourceLinked="1"/>
        <c:tickLblPos val="none"/>
        <c:crossAx val="167838464"/>
        <c:crosses val="autoZero"/>
        <c:lblAlgn val="ctr"/>
        <c:lblOffset val="100"/>
      </c:catAx>
      <c:valAx>
        <c:axId val="167838464"/>
        <c:scaling>
          <c:orientation val="minMax"/>
          <c:max val="7"/>
          <c:min val="0"/>
        </c:scaling>
        <c:axPos val="r"/>
        <c:numFmt formatCode="#,##0" sourceLinked="0"/>
        <c:majorTickMark val="cross"/>
        <c:tickLblPos val="nextTo"/>
        <c:txPr>
          <a:bodyPr rot="0" vert="horz"/>
          <a:lstStyle/>
          <a:p>
            <a:pPr>
              <a:defRPr/>
            </a:pPr>
            <a:endParaRPr lang="es-ES"/>
          </a:p>
        </c:txPr>
        <c:crossAx val="167767040"/>
        <c:crosses val="max"/>
        <c:crossBetween val="between"/>
      </c:valAx>
    </c:plotArea>
    <c:legend>
      <c:legendPos val="b"/>
    </c:legend>
    <c:plotVisOnly val="1"/>
    <c:dispBlanksAs val="gap"/>
  </c:chart>
  <c:txPr>
    <a:bodyPr/>
    <a:lstStyle/>
    <a:p>
      <a:pPr>
        <a:defRPr sz="800">
          <a:latin typeface="+mj-lt"/>
        </a:defRPr>
      </a:pPr>
      <a:endParaRPr lang="es-E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style val="27"/>
  <c:chart>
    <c:title>
      <c:tx>
        <c:rich>
          <a:bodyPr/>
          <a:lstStyle/>
          <a:p>
            <a:pPr>
              <a:defRPr i="0"/>
            </a:pPr>
            <a:r>
              <a:rPr lang="es-ES_tradnl" sz="1200" b="1" i="0" u="none" strike="noStrike" baseline="0">
                <a:effectLst/>
              </a:rPr>
              <a:t>Evolución de los distintos subsectores de la construcción en España</a:t>
            </a:r>
          </a:p>
          <a:p>
            <a:pPr>
              <a:defRPr i="0"/>
            </a:pPr>
            <a:r>
              <a:rPr lang="es-ES_tradnl" sz="1200" b="1" i="0" u="none" strike="noStrike" baseline="0">
                <a:effectLst/>
              </a:rPr>
              <a:t>2006 - 2015*</a:t>
            </a:r>
            <a:endParaRPr lang="es-ES" i="0"/>
          </a:p>
        </c:rich>
      </c:tx>
      <c:layout>
        <c:manualLayout>
          <c:xMode val="edge"/>
          <c:yMode val="edge"/>
          <c:x val="0.10268903999208358"/>
          <c:y val="3.525015004523753E-2"/>
        </c:manualLayout>
      </c:layout>
    </c:title>
    <c:plotArea>
      <c:layout/>
      <c:lineChart>
        <c:grouping val="standard"/>
        <c:ser>
          <c:idx val="0"/>
          <c:order val="0"/>
          <c:tx>
            <c:strRef>
              <c:f>Hoja1!$A$2</c:f>
              <c:strCache>
                <c:ptCount val="1"/>
                <c:pt idx="0">
                  <c:v>Obra civil</c:v>
                </c:pt>
              </c:strCache>
            </c:strRef>
          </c:tx>
          <c:spPr>
            <a:ln>
              <a:solidFill>
                <a:srgbClr val="FF6600"/>
              </a:solidFill>
            </a:ln>
            <a:effectLst>
              <a:outerShdw blurRad="50800" dist="38100" dir="5400000" algn="t" rotWithShape="0">
                <a:prstClr val="black">
                  <a:alpha val="40000"/>
                </a:prstClr>
              </a:outerShdw>
            </a:effectLst>
          </c:spPr>
          <c:marker>
            <c:symbol val="none"/>
          </c:marker>
          <c:cat>
            <c:strRef>
              <c:f>Hoja1!$B$1:$K$1</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Hoja1!$B$2:$K$2</c:f>
              <c:numCache>
                <c:formatCode>General</c:formatCode>
                <c:ptCount val="10"/>
                <c:pt idx="0">
                  <c:v>100</c:v>
                </c:pt>
                <c:pt idx="1">
                  <c:v>108</c:v>
                </c:pt>
                <c:pt idx="2">
                  <c:v>99</c:v>
                </c:pt>
                <c:pt idx="3">
                  <c:v>104</c:v>
                </c:pt>
                <c:pt idx="4">
                  <c:v>92</c:v>
                </c:pt>
                <c:pt idx="5">
                  <c:v>59.8</c:v>
                </c:pt>
                <c:pt idx="6">
                  <c:v>33</c:v>
                </c:pt>
                <c:pt idx="7">
                  <c:v>20</c:v>
                </c:pt>
                <c:pt idx="8">
                  <c:v>18</c:v>
                </c:pt>
                <c:pt idx="9">
                  <c:v>16</c:v>
                </c:pt>
              </c:numCache>
            </c:numRef>
          </c:val>
        </c:ser>
        <c:ser>
          <c:idx val="1"/>
          <c:order val="1"/>
          <c:tx>
            <c:strRef>
              <c:f>Hoja1!$A$3</c:f>
              <c:strCache>
                <c:ptCount val="1"/>
                <c:pt idx="0">
                  <c:v>Rehabilitación</c:v>
                </c:pt>
              </c:strCache>
            </c:strRef>
          </c:tx>
          <c:spPr>
            <a:ln>
              <a:solidFill>
                <a:srgbClr val="000090"/>
              </a:solidFill>
            </a:ln>
            <a:effectLst>
              <a:outerShdw blurRad="50800" dist="38100" dir="5400000" algn="t" rotWithShape="0">
                <a:prstClr val="black">
                  <a:alpha val="40000"/>
                </a:prstClr>
              </a:outerShdw>
            </a:effectLst>
          </c:spPr>
          <c:marker>
            <c:symbol val="none"/>
          </c:marker>
          <c:cat>
            <c:strRef>
              <c:f>Hoja1!$B$1:$K$1</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Hoja1!$B$3:$K$3</c:f>
              <c:numCache>
                <c:formatCode>General</c:formatCode>
                <c:ptCount val="10"/>
                <c:pt idx="0">
                  <c:v>100</c:v>
                </c:pt>
                <c:pt idx="1">
                  <c:v>104</c:v>
                </c:pt>
                <c:pt idx="2">
                  <c:v>90</c:v>
                </c:pt>
                <c:pt idx="3">
                  <c:v>80</c:v>
                </c:pt>
                <c:pt idx="4">
                  <c:v>74</c:v>
                </c:pt>
                <c:pt idx="5">
                  <c:v>70</c:v>
                </c:pt>
                <c:pt idx="6">
                  <c:v>61</c:v>
                </c:pt>
                <c:pt idx="7">
                  <c:v>53</c:v>
                </c:pt>
                <c:pt idx="8">
                  <c:v>49</c:v>
                </c:pt>
                <c:pt idx="9">
                  <c:v>44</c:v>
                </c:pt>
              </c:numCache>
            </c:numRef>
          </c:val>
        </c:ser>
        <c:ser>
          <c:idx val="2"/>
          <c:order val="2"/>
          <c:tx>
            <c:strRef>
              <c:f>Hoja1!$A$4</c:f>
              <c:strCache>
                <c:ptCount val="1"/>
                <c:pt idx="0">
                  <c:v>No residencial</c:v>
                </c:pt>
              </c:strCache>
            </c:strRef>
          </c:tx>
          <c:spPr>
            <a:ln>
              <a:solidFill>
                <a:srgbClr val="0000FF"/>
              </a:solidFill>
            </a:ln>
            <a:effectLst>
              <a:outerShdw blurRad="50800" dist="38100" dir="5400000" algn="t" rotWithShape="0">
                <a:prstClr val="black">
                  <a:alpha val="40000"/>
                </a:prstClr>
              </a:outerShdw>
            </a:effectLst>
          </c:spPr>
          <c:marker>
            <c:symbol val="none"/>
          </c:marker>
          <c:cat>
            <c:strRef>
              <c:f>Hoja1!$B$1:$K$1</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Hoja1!$B$4:$K$4</c:f>
              <c:numCache>
                <c:formatCode>General</c:formatCode>
                <c:ptCount val="10"/>
                <c:pt idx="0">
                  <c:v>100</c:v>
                </c:pt>
                <c:pt idx="1">
                  <c:v>104</c:v>
                </c:pt>
                <c:pt idx="2">
                  <c:v>96</c:v>
                </c:pt>
                <c:pt idx="3">
                  <c:v>78</c:v>
                </c:pt>
                <c:pt idx="4">
                  <c:v>69</c:v>
                </c:pt>
                <c:pt idx="5">
                  <c:v>55.2</c:v>
                </c:pt>
                <c:pt idx="6">
                  <c:v>44</c:v>
                </c:pt>
                <c:pt idx="7">
                  <c:v>35</c:v>
                </c:pt>
                <c:pt idx="8">
                  <c:v>28</c:v>
                </c:pt>
                <c:pt idx="9">
                  <c:v>25</c:v>
                </c:pt>
              </c:numCache>
            </c:numRef>
          </c:val>
        </c:ser>
        <c:ser>
          <c:idx val="3"/>
          <c:order val="3"/>
          <c:tx>
            <c:strRef>
              <c:f>Hoja1!$A$5</c:f>
              <c:strCache>
                <c:ptCount val="1"/>
                <c:pt idx="0">
                  <c:v>Residencial</c:v>
                </c:pt>
              </c:strCache>
            </c:strRef>
          </c:tx>
          <c:spPr>
            <a:ln>
              <a:solidFill>
                <a:schemeClr val="tx2">
                  <a:lumMod val="60000"/>
                  <a:lumOff val="40000"/>
                </a:schemeClr>
              </a:solidFill>
            </a:ln>
            <a:effectLst>
              <a:outerShdw blurRad="50800" dist="38100" dir="5400000" algn="t" rotWithShape="0">
                <a:prstClr val="black">
                  <a:alpha val="40000"/>
                </a:prstClr>
              </a:outerShdw>
            </a:effectLst>
          </c:spPr>
          <c:marker>
            <c:symbol val="none"/>
          </c:marker>
          <c:cat>
            <c:strRef>
              <c:f>Hoja1!$B$1:$K$1</c:f>
              <c:strCache>
                <c:ptCount val="10"/>
                <c:pt idx="0">
                  <c:v>2006</c:v>
                </c:pt>
                <c:pt idx="1">
                  <c:v>2007</c:v>
                </c:pt>
                <c:pt idx="2">
                  <c:v>2008</c:v>
                </c:pt>
                <c:pt idx="3">
                  <c:v>2009</c:v>
                </c:pt>
                <c:pt idx="4">
                  <c:v>2010</c:v>
                </c:pt>
                <c:pt idx="5">
                  <c:v>2011</c:v>
                </c:pt>
                <c:pt idx="6">
                  <c:v>2012</c:v>
                </c:pt>
                <c:pt idx="7">
                  <c:v>2013*</c:v>
                </c:pt>
                <c:pt idx="8">
                  <c:v>2014*</c:v>
                </c:pt>
                <c:pt idx="9">
                  <c:v>2015*</c:v>
                </c:pt>
              </c:strCache>
            </c:strRef>
          </c:cat>
          <c:val>
            <c:numRef>
              <c:f>Hoja1!$B$5:$K$5</c:f>
              <c:numCache>
                <c:formatCode>General</c:formatCode>
                <c:ptCount val="10"/>
                <c:pt idx="0">
                  <c:v>100</c:v>
                </c:pt>
                <c:pt idx="1">
                  <c:v>102</c:v>
                </c:pt>
                <c:pt idx="2">
                  <c:v>67</c:v>
                </c:pt>
                <c:pt idx="3">
                  <c:v>30</c:v>
                </c:pt>
                <c:pt idx="4">
                  <c:v>28</c:v>
                </c:pt>
                <c:pt idx="5">
                  <c:v>24.08</c:v>
                </c:pt>
                <c:pt idx="6">
                  <c:v>19</c:v>
                </c:pt>
                <c:pt idx="7">
                  <c:v>17</c:v>
                </c:pt>
                <c:pt idx="8">
                  <c:v>19</c:v>
                </c:pt>
                <c:pt idx="9">
                  <c:v>24</c:v>
                </c:pt>
              </c:numCache>
            </c:numRef>
          </c:val>
        </c:ser>
        <c:marker val="1"/>
        <c:axId val="137788032"/>
        <c:axId val="167899520"/>
      </c:lineChart>
      <c:catAx>
        <c:axId val="137788032"/>
        <c:scaling>
          <c:orientation val="minMax"/>
        </c:scaling>
        <c:axPos val="b"/>
        <c:numFmt formatCode="General" sourceLinked="0"/>
        <c:tickLblPos val="nextTo"/>
        <c:crossAx val="167899520"/>
        <c:crosses val="autoZero"/>
        <c:auto val="1"/>
        <c:lblAlgn val="ctr"/>
        <c:lblOffset val="100"/>
      </c:catAx>
      <c:valAx>
        <c:axId val="167899520"/>
        <c:scaling>
          <c:orientation val="minMax"/>
          <c:max val="110"/>
          <c:min val="0"/>
        </c:scaling>
        <c:axPos val="l"/>
        <c:majorGridlines/>
        <c:numFmt formatCode="General" sourceLinked="1"/>
        <c:tickLblPos val="nextTo"/>
        <c:crossAx val="137788032"/>
        <c:crosses val="autoZero"/>
        <c:crossBetween val="between"/>
        <c:majorUnit val="10"/>
      </c:valAx>
      <c:spPr>
        <a:noFill/>
        <a:ln w="25403">
          <a:noFill/>
        </a:ln>
      </c:spPr>
    </c:plotArea>
    <c:legend>
      <c:legendPos val="b"/>
    </c:legend>
    <c:plotVisOnly val="1"/>
    <c:dispBlanksAs val="gap"/>
  </c:chart>
  <c:spPr>
    <a:noFill/>
  </c:spPr>
  <c:txPr>
    <a:bodyPr/>
    <a:lstStyle/>
    <a:p>
      <a:pPr>
        <a:defRPr sz="1000">
          <a:latin typeface="Calibri"/>
          <a:cs typeface="Calibri"/>
        </a:defRPr>
      </a:pPr>
      <a:endParaRPr lang="es-ES"/>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S"/>
  <c:style val="18"/>
  <c:chart>
    <c:title>
      <c:tx>
        <c:rich>
          <a:bodyPr/>
          <a:lstStyle/>
          <a:p>
            <a:pPr>
              <a:defRPr/>
            </a:pPr>
            <a:r>
              <a:rPr lang="es-ES"/>
              <a:t>Licitación Pública por Comunidades Autónomas</a:t>
            </a:r>
          </a:p>
          <a:p>
            <a:pPr>
              <a:defRPr/>
            </a:pPr>
            <a:r>
              <a:rPr lang="es-ES"/>
              <a:t>Variación Enero - Marzo 2013/2012</a:t>
            </a:r>
          </a:p>
          <a:p>
            <a:pPr>
              <a:defRPr/>
            </a:pPr>
            <a:r>
              <a:rPr lang="es-ES"/>
              <a:t>Porcentaje</a:t>
            </a:r>
          </a:p>
        </c:rich>
      </c:tx>
    </c:title>
    <c:plotArea>
      <c:layout/>
      <c:barChart>
        <c:barDir val="col"/>
        <c:grouping val="clustered"/>
        <c:ser>
          <c:idx val="0"/>
          <c:order val="0"/>
          <c:tx>
            <c:strRef>
              <c:f>Hoja1!$B$1</c:f>
              <c:strCache>
                <c:ptCount val="1"/>
                <c:pt idx="0">
                  <c:v>Variación Enero - Junio 2012/2011</c:v>
                </c:pt>
              </c:strCache>
            </c:strRef>
          </c:tx>
          <c:spPr>
            <a:solidFill>
              <a:srgbClr val="008000"/>
            </a:solidFill>
          </c:spPr>
          <c:dPt>
            <c:idx val="0"/>
            <c:spPr>
              <a:solidFill>
                <a:srgbClr val="FF6600"/>
              </a:solidFill>
            </c:spPr>
          </c:dPt>
          <c:dPt>
            <c:idx val="4"/>
            <c:spPr>
              <a:solidFill>
                <a:srgbClr val="FF6600"/>
              </a:solidFill>
            </c:spPr>
          </c:dPt>
          <c:dPt>
            <c:idx val="7"/>
            <c:spPr>
              <a:solidFill>
                <a:srgbClr val="FF6600"/>
              </a:solidFill>
            </c:spPr>
          </c:dPt>
          <c:dPt>
            <c:idx val="12"/>
            <c:spPr>
              <a:solidFill>
                <a:srgbClr val="FF6600"/>
              </a:solidFill>
            </c:spPr>
          </c:dPt>
          <c:dPt>
            <c:idx val="14"/>
            <c:spPr>
              <a:solidFill>
                <a:srgbClr val="FF6600"/>
              </a:solidFill>
            </c:spPr>
          </c:dPt>
          <c:dPt>
            <c:idx val="15"/>
            <c:spPr>
              <a:solidFill>
                <a:srgbClr val="FF6600"/>
              </a:solidFill>
            </c:spPr>
          </c:dPt>
          <c:dPt>
            <c:idx val="17"/>
            <c:spPr>
              <a:solidFill>
                <a:srgbClr val="FF6600"/>
              </a:solidFill>
            </c:spPr>
          </c:dPt>
          <c:dPt>
            <c:idx val="18"/>
            <c:spPr>
              <a:solidFill>
                <a:srgbClr val="FF6600"/>
              </a:solidFill>
            </c:spPr>
          </c:dPt>
          <c:dLbls>
            <c:dLbl>
              <c:idx val="16"/>
              <c:spPr>
                <a:noFill/>
                <a:ln w="25400">
                  <a:noFill/>
                </a:ln>
              </c:spPr>
              <c:txPr>
                <a:bodyPr/>
                <a:lstStyle/>
                <a:p>
                  <a:pPr>
                    <a:defRPr/>
                  </a:pPr>
                  <a:endParaRPr lang="es-ES"/>
                </a:p>
              </c:txPr>
              <c:dLblPos val="ctr"/>
              <c:showVal val="1"/>
            </c:dLbl>
            <c:spPr>
              <a:noFill/>
              <a:ln w="25400">
                <a:noFill/>
              </a:ln>
            </c:spPr>
            <c:showVal val="1"/>
          </c:dLbls>
          <c:cat>
            <c:strRef>
              <c:f>Hoja1!$A$2:$A$21</c:f>
              <c:strCache>
                <c:ptCount val="20"/>
                <c:pt idx="0">
                  <c:v>Andalucía</c:v>
                </c:pt>
                <c:pt idx="1">
                  <c:v>Aragón</c:v>
                </c:pt>
                <c:pt idx="2">
                  <c:v>Asturias</c:v>
                </c:pt>
                <c:pt idx="3">
                  <c:v>Islas Baleares</c:v>
                </c:pt>
                <c:pt idx="4">
                  <c:v>Canarias</c:v>
                </c:pt>
                <c:pt idx="5">
                  <c:v>Cantabria</c:v>
                </c:pt>
                <c:pt idx="6">
                  <c:v>Castilla y León</c:v>
                </c:pt>
                <c:pt idx="7">
                  <c:v>Castilla - La Mancha</c:v>
                </c:pt>
                <c:pt idx="8">
                  <c:v>Cataluña</c:v>
                </c:pt>
                <c:pt idx="9">
                  <c:v>C. Valenciana</c:v>
                </c:pt>
                <c:pt idx="10">
                  <c:v>Extremadura</c:v>
                </c:pt>
                <c:pt idx="11">
                  <c:v>Galicia</c:v>
                </c:pt>
                <c:pt idx="12">
                  <c:v>Madrid</c:v>
                </c:pt>
                <c:pt idx="13">
                  <c:v>Murcia</c:v>
                </c:pt>
                <c:pt idx="14">
                  <c:v>Navarra</c:v>
                </c:pt>
                <c:pt idx="15">
                  <c:v>País Vasco</c:v>
                </c:pt>
                <c:pt idx="16">
                  <c:v>La Rioja</c:v>
                </c:pt>
                <c:pt idx="17">
                  <c:v>Ceuta y Melilla</c:v>
                </c:pt>
                <c:pt idx="18">
                  <c:v>No regionalizable</c:v>
                </c:pt>
                <c:pt idx="19">
                  <c:v>Total</c:v>
                </c:pt>
              </c:strCache>
            </c:strRef>
          </c:cat>
          <c:val>
            <c:numRef>
              <c:f>Hoja1!$B$2:$B$21</c:f>
              <c:numCache>
                <c:formatCode>General</c:formatCode>
                <c:ptCount val="20"/>
                <c:pt idx="0">
                  <c:v>-13.9</c:v>
                </c:pt>
                <c:pt idx="1">
                  <c:v>198</c:v>
                </c:pt>
                <c:pt idx="2">
                  <c:v>680</c:v>
                </c:pt>
                <c:pt idx="3">
                  <c:v>1.4</c:v>
                </c:pt>
                <c:pt idx="4">
                  <c:v>-16.100000000000001</c:v>
                </c:pt>
                <c:pt idx="5">
                  <c:v>319.39999999999986</c:v>
                </c:pt>
                <c:pt idx="6">
                  <c:v>40.700000000000003</c:v>
                </c:pt>
                <c:pt idx="7">
                  <c:v>-40.9</c:v>
                </c:pt>
                <c:pt idx="8">
                  <c:v>93.4</c:v>
                </c:pt>
                <c:pt idx="9">
                  <c:v>149</c:v>
                </c:pt>
                <c:pt idx="10">
                  <c:v>327</c:v>
                </c:pt>
                <c:pt idx="11">
                  <c:v>63.9</c:v>
                </c:pt>
                <c:pt idx="12">
                  <c:v>-61.1</c:v>
                </c:pt>
                <c:pt idx="13">
                  <c:v>29.7</c:v>
                </c:pt>
                <c:pt idx="14">
                  <c:v>-46.9</c:v>
                </c:pt>
                <c:pt idx="15">
                  <c:v>-79.599999999999994</c:v>
                </c:pt>
                <c:pt idx="16" formatCode="#,##0">
                  <c:v>1134</c:v>
                </c:pt>
                <c:pt idx="17">
                  <c:v>-75</c:v>
                </c:pt>
                <c:pt idx="18">
                  <c:v>-46.6</c:v>
                </c:pt>
                <c:pt idx="19">
                  <c:v>-7.2</c:v>
                </c:pt>
              </c:numCache>
            </c:numRef>
          </c:val>
        </c:ser>
        <c:axId val="169795584"/>
        <c:axId val="169797120"/>
      </c:barChart>
      <c:catAx>
        <c:axId val="169795584"/>
        <c:scaling>
          <c:orientation val="minMax"/>
        </c:scaling>
        <c:axPos val="b"/>
        <c:numFmt formatCode="General" sourceLinked="0"/>
        <c:tickLblPos val="nextTo"/>
        <c:txPr>
          <a:bodyPr rot="-5400000" vert="horz"/>
          <a:lstStyle/>
          <a:p>
            <a:pPr>
              <a:defRPr/>
            </a:pPr>
            <a:endParaRPr lang="es-ES"/>
          </a:p>
        </c:txPr>
        <c:crossAx val="169797120"/>
        <c:crosses val="autoZero"/>
        <c:auto val="1"/>
        <c:lblAlgn val="ctr"/>
        <c:lblOffset val="100"/>
      </c:catAx>
      <c:valAx>
        <c:axId val="169797120"/>
        <c:scaling>
          <c:orientation val="minMax"/>
          <c:max val="700"/>
          <c:min val="-200"/>
        </c:scaling>
        <c:axPos val="l"/>
        <c:majorGridlines/>
        <c:title>
          <c:tx>
            <c:rich>
              <a:bodyPr/>
              <a:lstStyle/>
              <a:p>
                <a:pPr>
                  <a:defRPr sz="800" b="1" i="0" u="none" strike="noStrike" baseline="0">
                    <a:solidFill>
                      <a:srgbClr val="000000"/>
                    </a:solidFill>
                    <a:latin typeface="Cambria"/>
                    <a:ea typeface="Cambria"/>
                    <a:cs typeface="Cambria"/>
                  </a:defRPr>
                </a:pPr>
                <a:r>
                  <a:t>Porcentaje</a:t>
                </a:r>
              </a:p>
            </c:rich>
          </c:tx>
        </c:title>
        <c:numFmt formatCode="General" sourceLinked="1"/>
        <c:tickLblPos val="nextTo"/>
        <c:crossAx val="169795584"/>
        <c:crosses val="autoZero"/>
        <c:crossBetween val="between"/>
        <c:majorUnit val="100"/>
      </c:valAx>
    </c:plotArea>
    <c:plotVisOnly val="1"/>
    <c:dispBlanksAs val="gap"/>
  </c:chart>
  <c:txPr>
    <a:bodyPr/>
    <a:lstStyle/>
    <a:p>
      <a:pPr>
        <a:defRPr sz="800">
          <a:latin typeface="+mj-lt"/>
        </a:defRPr>
      </a:pPr>
      <a:endParaRPr lang="es-ES"/>
    </a:p>
  </c:txPr>
  <c:externalData r:id="rId2"/>
</c:chartSpace>
</file>

<file path=word/drawings/drawing1.xml><?xml version="1.0" encoding="utf-8"?>
<c:userShapes xmlns:c="http://schemas.openxmlformats.org/drawingml/2006/chart">
  <cdr:relSizeAnchor xmlns:cdr="http://schemas.openxmlformats.org/drawingml/2006/chartDrawing">
    <cdr:from>
      <cdr:x>0.08349</cdr:x>
      <cdr:y>0.75972</cdr:y>
    </cdr:from>
    <cdr:to>
      <cdr:x>0.95133</cdr:x>
      <cdr:y>0.75972</cdr:y>
    </cdr:to>
    <cdr:cxnSp macro="">
      <cdr:nvCxnSpPr>
        <cdr:cNvPr id="2" name="Conector recto de flecha 1"/>
        <cdr:cNvCxnSpPr/>
      </cdr:nvCxnSpPr>
      <cdr:spPr>
        <a:xfrm xmlns:a="http://schemas.openxmlformats.org/drawingml/2006/main" flipH="1">
          <a:off x="450657" y="1941747"/>
          <a:ext cx="4684166" cy="0"/>
        </a:xfrm>
        <a:prstGeom xmlns:a="http://schemas.openxmlformats.org/drawingml/2006/main" prst="straightConnector1">
          <a:avLst/>
        </a:prstGeom>
        <a:ln xmlns:a="http://schemas.openxmlformats.org/drawingml/2006/main">
          <a:solidFill>
            <a:srgbClr val="FF6600"/>
          </a:solidFill>
          <a:tailEnd type="arrow"/>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A3662-DDD9-4A9B-A085-4F9DC1A5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3658</Words>
  <Characters>20121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ANEFA</dc:creator>
  <cp:lastModifiedBy>Miguel García</cp:lastModifiedBy>
  <cp:revision>2</cp:revision>
  <cp:lastPrinted>2013-05-23T09:52:00Z</cp:lastPrinted>
  <dcterms:created xsi:type="dcterms:W3CDTF">2013-05-28T11:02:00Z</dcterms:created>
  <dcterms:modified xsi:type="dcterms:W3CDTF">2013-05-28T11:02:00Z</dcterms:modified>
</cp:coreProperties>
</file>